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B4187" w14:textId="3A6F61B8" w:rsidR="00367E54" w:rsidRPr="00D11772" w:rsidRDefault="00975BDB" w:rsidP="00846362">
      <w:pPr>
        <w:spacing w:after="240" w:line="276" w:lineRule="auto"/>
        <w:ind w:left="0" w:right="62" w:firstLine="0"/>
        <w:jc w:val="right"/>
        <w:rPr>
          <w:color w:val="7F7F7F"/>
          <w:lang w:val="fr-FR"/>
        </w:rPr>
      </w:pPr>
      <w:r>
        <w:rPr>
          <w:color w:val="7F7F7F"/>
          <w:lang w:val="fr"/>
        </w:rPr>
        <w:t>Communiqué de presse</w:t>
      </w:r>
    </w:p>
    <w:p w14:paraId="14983E3B" w14:textId="39CA2DC9" w:rsidR="00AA1CF6" w:rsidRPr="00D11772" w:rsidRDefault="00975BDB" w:rsidP="00367E54">
      <w:pPr>
        <w:spacing w:after="0" w:line="276" w:lineRule="auto"/>
        <w:ind w:left="0" w:right="62" w:firstLine="0"/>
        <w:jc w:val="right"/>
        <w:rPr>
          <w:color w:val="7F7F7F"/>
          <w:lang w:val="fr-FR"/>
        </w:rPr>
      </w:pPr>
      <w:r w:rsidRPr="00D11772">
        <w:rPr>
          <w:color w:val="7F7F7F"/>
          <w:sz w:val="22"/>
          <w:lang w:val="fr-FR"/>
        </w:rPr>
        <w:t xml:space="preserve"> </w:t>
      </w:r>
    </w:p>
    <w:p w14:paraId="2A47B5DD" w14:textId="54EB457D" w:rsidR="00461910" w:rsidRPr="00D11772" w:rsidRDefault="002D26D5" w:rsidP="0030268E">
      <w:pPr>
        <w:spacing w:after="240" w:line="276" w:lineRule="auto"/>
        <w:ind w:left="0" w:right="0" w:firstLine="0"/>
        <w:jc w:val="center"/>
        <w:rPr>
          <w:b/>
          <w:color w:val="009DA1"/>
          <w:sz w:val="36"/>
          <w:lang w:val="fr-FR"/>
        </w:rPr>
      </w:pPr>
      <w:bookmarkStart w:id="0" w:name="_Hlk34822241"/>
      <w:r w:rsidRPr="00937CB3">
        <w:rPr>
          <w:b/>
          <w:color w:val="009DA1"/>
          <w:sz w:val="36"/>
          <w:lang w:val="fr"/>
        </w:rPr>
        <w:t xml:space="preserve">GenSight Biologics </w:t>
      </w:r>
      <w:bookmarkEnd w:id="0"/>
      <w:r w:rsidR="00ED5ACF">
        <w:rPr>
          <w:b/>
          <w:color w:val="009DA1"/>
          <w:sz w:val="36"/>
          <w:lang w:val="fr"/>
        </w:rPr>
        <w:t xml:space="preserve">fait un point </w:t>
      </w:r>
      <w:r w:rsidR="00F87D6A">
        <w:rPr>
          <w:b/>
          <w:color w:val="009DA1"/>
          <w:sz w:val="36"/>
          <w:lang w:val="fr"/>
        </w:rPr>
        <w:t xml:space="preserve">sur sa situation </w:t>
      </w:r>
      <w:r w:rsidR="00ED5ACF">
        <w:rPr>
          <w:b/>
          <w:color w:val="009DA1"/>
          <w:sz w:val="36"/>
          <w:lang w:val="fr"/>
        </w:rPr>
        <w:t>financi</w:t>
      </w:r>
      <w:r w:rsidR="00F87D6A">
        <w:rPr>
          <w:b/>
          <w:color w:val="009DA1"/>
          <w:sz w:val="36"/>
          <w:lang w:val="fr"/>
        </w:rPr>
        <w:t>ère</w:t>
      </w:r>
      <w:r w:rsidR="00ED5ACF">
        <w:rPr>
          <w:b/>
          <w:color w:val="009DA1"/>
          <w:sz w:val="36"/>
          <w:lang w:val="fr"/>
        </w:rPr>
        <w:t xml:space="preserve"> et opérationnel</w:t>
      </w:r>
      <w:r w:rsidR="00F87D6A">
        <w:rPr>
          <w:b/>
          <w:color w:val="009DA1"/>
          <w:sz w:val="36"/>
          <w:lang w:val="fr"/>
        </w:rPr>
        <w:t>le</w:t>
      </w:r>
    </w:p>
    <w:p w14:paraId="25D3D899" w14:textId="475AFFBB" w:rsidR="00081033" w:rsidRPr="0030268E" w:rsidRDefault="00E70507" w:rsidP="0030268E">
      <w:pPr>
        <w:pStyle w:val="Paragraphedeliste"/>
        <w:numPr>
          <w:ilvl w:val="0"/>
          <w:numId w:val="18"/>
        </w:numPr>
        <w:spacing w:before="120" w:after="120" w:line="276" w:lineRule="auto"/>
        <w:ind w:left="782" w:hanging="357"/>
        <w:contextualSpacing w:val="0"/>
        <w:rPr>
          <w:color w:val="009DA1"/>
          <w:sz w:val="24"/>
          <w:szCs w:val="24"/>
          <w:lang w:val="fr-FR"/>
        </w:rPr>
      </w:pPr>
      <w:r>
        <w:rPr>
          <w:color w:val="009DA1"/>
          <w:sz w:val="24"/>
          <w:szCs w:val="24"/>
          <w:lang w:val="fr"/>
        </w:rPr>
        <w:t xml:space="preserve">Horizon </w:t>
      </w:r>
      <w:r w:rsidRPr="00E70507">
        <w:rPr>
          <w:color w:val="009DA1"/>
          <w:sz w:val="24"/>
          <w:szCs w:val="24"/>
          <w:lang w:val="fr"/>
        </w:rPr>
        <w:t xml:space="preserve">de trésorerie prolongé jusqu'à fin juillet 2023 </w:t>
      </w:r>
      <w:r>
        <w:rPr>
          <w:color w:val="009DA1"/>
          <w:sz w:val="24"/>
          <w:szCs w:val="24"/>
          <w:lang w:val="fr"/>
        </w:rPr>
        <w:t>afin de</w:t>
      </w:r>
      <w:r w:rsidRPr="00E70507">
        <w:rPr>
          <w:color w:val="009DA1"/>
          <w:sz w:val="24"/>
          <w:szCs w:val="24"/>
          <w:lang w:val="fr"/>
        </w:rPr>
        <w:t xml:space="preserve"> poursuivre </w:t>
      </w:r>
      <w:r>
        <w:rPr>
          <w:color w:val="009DA1"/>
          <w:sz w:val="24"/>
          <w:szCs w:val="24"/>
          <w:lang w:val="fr"/>
        </w:rPr>
        <w:t>l</w:t>
      </w:r>
      <w:r w:rsidRPr="00E70507">
        <w:rPr>
          <w:color w:val="009DA1"/>
          <w:sz w:val="24"/>
          <w:szCs w:val="24"/>
          <w:lang w:val="fr"/>
        </w:rPr>
        <w:t xml:space="preserve">es discussions avancées en cours </w:t>
      </w:r>
      <w:r>
        <w:rPr>
          <w:color w:val="009DA1"/>
          <w:sz w:val="24"/>
          <w:szCs w:val="24"/>
          <w:lang w:val="fr"/>
        </w:rPr>
        <w:t xml:space="preserve">sur un financement </w:t>
      </w:r>
      <w:r w:rsidRPr="00E70507">
        <w:rPr>
          <w:color w:val="009DA1"/>
          <w:sz w:val="24"/>
          <w:szCs w:val="24"/>
          <w:lang w:val="fr"/>
        </w:rPr>
        <w:t>avec un nombre limité d'investisseurs existants et nouveaux</w:t>
      </w:r>
    </w:p>
    <w:p w14:paraId="250D1817" w14:textId="39E4384F" w:rsidR="00081033" w:rsidRDefault="00E70507" w:rsidP="0030268E">
      <w:pPr>
        <w:pStyle w:val="Paragraphedeliste"/>
        <w:numPr>
          <w:ilvl w:val="0"/>
          <w:numId w:val="18"/>
        </w:numPr>
        <w:spacing w:before="120" w:after="120" w:line="276" w:lineRule="auto"/>
        <w:ind w:left="782" w:hanging="357"/>
        <w:contextualSpacing w:val="0"/>
        <w:rPr>
          <w:color w:val="009DA1"/>
          <w:sz w:val="24"/>
          <w:szCs w:val="24"/>
          <w:lang w:val="fr-FR"/>
        </w:rPr>
      </w:pPr>
      <w:r w:rsidRPr="00F87D6A">
        <w:rPr>
          <w:i/>
          <w:iCs/>
          <w:color w:val="009DA1"/>
          <w:sz w:val="24"/>
          <w:szCs w:val="24"/>
          <w:lang w:val="fr-FR"/>
        </w:rPr>
        <w:t xml:space="preserve">Cash </w:t>
      </w:r>
      <w:proofErr w:type="spellStart"/>
      <w:r w:rsidRPr="00F87D6A">
        <w:rPr>
          <w:i/>
          <w:iCs/>
          <w:color w:val="009DA1"/>
          <w:sz w:val="24"/>
          <w:szCs w:val="24"/>
          <w:lang w:val="fr-FR"/>
        </w:rPr>
        <w:t>burn</w:t>
      </w:r>
      <w:proofErr w:type="spellEnd"/>
      <w:r>
        <w:rPr>
          <w:color w:val="009DA1"/>
          <w:sz w:val="24"/>
          <w:szCs w:val="24"/>
          <w:lang w:val="fr-FR"/>
        </w:rPr>
        <w:t xml:space="preserve"> opérationnel sensiblement réduit afin de limiter les besoins de financement en 2024</w:t>
      </w:r>
    </w:p>
    <w:p w14:paraId="58007973" w14:textId="47C2C364" w:rsidR="00E70507" w:rsidRPr="0030268E" w:rsidRDefault="00E70507" w:rsidP="0030268E">
      <w:pPr>
        <w:pStyle w:val="Paragraphedeliste"/>
        <w:numPr>
          <w:ilvl w:val="0"/>
          <w:numId w:val="18"/>
        </w:numPr>
        <w:spacing w:before="120" w:after="120" w:line="276" w:lineRule="auto"/>
        <w:ind w:left="782" w:hanging="357"/>
        <w:contextualSpacing w:val="0"/>
        <w:rPr>
          <w:color w:val="009DA1"/>
          <w:sz w:val="24"/>
          <w:szCs w:val="24"/>
          <w:lang w:val="fr-FR"/>
        </w:rPr>
      </w:pPr>
      <w:r>
        <w:rPr>
          <w:color w:val="009DA1"/>
          <w:sz w:val="24"/>
          <w:szCs w:val="24"/>
          <w:lang w:val="fr-FR"/>
        </w:rPr>
        <w:t xml:space="preserve">Production de 3 lots GMP </w:t>
      </w:r>
      <w:r w:rsidR="009D354E">
        <w:rPr>
          <w:color w:val="009DA1"/>
          <w:sz w:val="24"/>
          <w:szCs w:val="24"/>
          <w:lang w:val="fr-FR"/>
        </w:rPr>
        <w:t>à partir d</w:t>
      </w:r>
      <w:r w:rsidR="0023604E">
        <w:rPr>
          <w:color w:val="009DA1"/>
          <w:sz w:val="24"/>
          <w:szCs w:val="24"/>
          <w:lang w:val="fr-FR"/>
        </w:rPr>
        <w:t xml:space="preserve">e début </w:t>
      </w:r>
      <w:r>
        <w:rPr>
          <w:color w:val="009DA1"/>
          <w:sz w:val="24"/>
          <w:szCs w:val="24"/>
          <w:lang w:val="fr-FR"/>
        </w:rPr>
        <w:t xml:space="preserve">août ; résultats attendus </w:t>
      </w:r>
      <w:r w:rsidR="0023604E">
        <w:rPr>
          <w:color w:val="009DA1"/>
          <w:sz w:val="24"/>
          <w:szCs w:val="24"/>
          <w:lang w:val="fr-FR"/>
        </w:rPr>
        <w:t>sur septembre et octobre</w:t>
      </w:r>
    </w:p>
    <w:p w14:paraId="2723FF9F" w14:textId="7FA6C61C" w:rsidR="00081033" w:rsidRDefault="00E70507" w:rsidP="0030268E">
      <w:pPr>
        <w:pStyle w:val="Paragraphedeliste"/>
        <w:numPr>
          <w:ilvl w:val="0"/>
          <w:numId w:val="18"/>
        </w:numPr>
        <w:spacing w:before="120" w:after="120" w:line="276" w:lineRule="auto"/>
        <w:ind w:left="782" w:hanging="357"/>
        <w:contextualSpacing w:val="0"/>
        <w:rPr>
          <w:color w:val="009DA1"/>
          <w:sz w:val="24"/>
          <w:szCs w:val="24"/>
          <w:lang w:val="fr-FR"/>
        </w:rPr>
      </w:pPr>
      <w:r>
        <w:rPr>
          <w:color w:val="009DA1"/>
          <w:sz w:val="24"/>
          <w:szCs w:val="24"/>
          <w:lang w:val="fr-FR"/>
        </w:rPr>
        <w:t>Réunion de « </w:t>
      </w:r>
      <w:r w:rsidRPr="00E70507">
        <w:rPr>
          <w:i/>
          <w:iCs/>
          <w:color w:val="009DA1"/>
          <w:sz w:val="24"/>
          <w:szCs w:val="24"/>
          <w:lang w:val="fr-FR"/>
        </w:rPr>
        <w:t xml:space="preserve">Scientific </w:t>
      </w:r>
      <w:proofErr w:type="spellStart"/>
      <w:r w:rsidRPr="00E70507">
        <w:rPr>
          <w:i/>
          <w:iCs/>
          <w:color w:val="009DA1"/>
          <w:sz w:val="24"/>
          <w:szCs w:val="24"/>
          <w:lang w:val="fr-FR"/>
        </w:rPr>
        <w:t>Advice</w:t>
      </w:r>
      <w:proofErr w:type="spellEnd"/>
      <w:r>
        <w:rPr>
          <w:color w:val="009DA1"/>
          <w:sz w:val="24"/>
          <w:szCs w:val="24"/>
          <w:lang w:val="fr-FR"/>
        </w:rPr>
        <w:t> » avec l’EMA confirmée fin septembre</w:t>
      </w:r>
    </w:p>
    <w:p w14:paraId="3C63B211" w14:textId="77E35F83" w:rsidR="00F87D6A" w:rsidRPr="0030268E" w:rsidRDefault="00F87D6A" w:rsidP="0030268E">
      <w:pPr>
        <w:pStyle w:val="Paragraphedeliste"/>
        <w:numPr>
          <w:ilvl w:val="0"/>
          <w:numId w:val="18"/>
        </w:numPr>
        <w:spacing w:before="120" w:after="120" w:line="276" w:lineRule="auto"/>
        <w:ind w:left="782" w:hanging="357"/>
        <w:contextualSpacing w:val="0"/>
        <w:rPr>
          <w:color w:val="009DA1"/>
          <w:sz w:val="24"/>
          <w:szCs w:val="24"/>
          <w:lang w:val="fr-FR"/>
        </w:rPr>
      </w:pPr>
      <w:r>
        <w:rPr>
          <w:color w:val="009DA1"/>
          <w:sz w:val="24"/>
          <w:szCs w:val="24"/>
          <w:lang w:val="fr-FR"/>
        </w:rPr>
        <w:t>Discussions actives autour d’options stratégiques, incluant de potentielles opportunités de fusion ou acquisition</w:t>
      </w:r>
    </w:p>
    <w:p w14:paraId="1F9EAE22" w14:textId="409F4FC0" w:rsidR="00081033" w:rsidRPr="0030268E" w:rsidRDefault="00F87D6A" w:rsidP="0030268E">
      <w:pPr>
        <w:pStyle w:val="Paragraphedeliste"/>
        <w:numPr>
          <w:ilvl w:val="0"/>
          <w:numId w:val="18"/>
        </w:numPr>
        <w:spacing w:before="120" w:after="120" w:line="276" w:lineRule="auto"/>
        <w:ind w:left="782" w:hanging="357"/>
        <w:contextualSpacing w:val="0"/>
        <w:rPr>
          <w:color w:val="009DA1"/>
          <w:sz w:val="24"/>
          <w:szCs w:val="24"/>
          <w:lang w:val="fr-FR"/>
        </w:rPr>
      </w:pPr>
      <w:r>
        <w:rPr>
          <w:color w:val="009DA1"/>
          <w:sz w:val="24"/>
          <w:szCs w:val="24"/>
          <w:lang w:val="fr-FR"/>
        </w:rPr>
        <w:t>Rapport Financier Semestriel au 30 juin reporté au 15 septembre 2023</w:t>
      </w:r>
    </w:p>
    <w:p w14:paraId="15776B23" w14:textId="77777777" w:rsidR="005006AF" w:rsidRDefault="005006AF" w:rsidP="0030268E">
      <w:pPr>
        <w:spacing w:before="240" w:after="120" w:line="276" w:lineRule="auto"/>
        <w:ind w:left="0" w:right="0" w:firstLine="0"/>
        <w:rPr>
          <w:b/>
          <w:lang w:val="fr"/>
        </w:rPr>
      </w:pPr>
    </w:p>
    <w:p w14:paraId="710188C0" w14:textId="324A4E3C" w:rsidR="00E70384" w:rsidRDefault="00975BDB" w:rsidP="00F87D6A">
      <w:pPr>
        <w:spacing w:after="0" w:line="276" w:lineRule="auto"/>
        <w:ind w:left="0" w:right="0" w:firstLine="0"/>
        <w:rPr>
          <w:szCs w:val="20"/>
          <w:lang w:val="fr"/>
        </w:rPr>
      </w:pPr>
      <w:r w:rsidRPr="00937CB3">
        <w:rPr>
          <w:b/>
          <w:lang w:val="fr"/>
        </w:rPr>
        <w:t xml:space="preserve">Paris, France, le </w:t>
      </w:r>
      <w:r w:rsidR="0023604E">
        <w:rPr>
          <w:b/>
          <w:lang w:val="fr"/>
        </w:rPr>
        <w:t>20</w:t>
      </w:r>
      <w:r w:rsidR="0023604E" w:rsidRPr="00BB40C9">
        <w:rPr>
          <w:b/>
          <w:lang w:val="fr"/>
        </w:rPr>
        <w:t xml:space="preserve"> </w:t>
      </w:r>
      <w:r w:rsidR="00F87D6A" w:rsidRPr="00BB40C9">
        <w:rPr>
          <w:b/>
          <w:lang w:val="fr"/>
        </w:rPr>
        <w:t>juillet</w:t>
      </w:r>
      <w:r w:rsidRPr="00BB40C9">
        <w:rPr>
          <w:b/>
          <w:lang w:val="fr"/>
        </w:rPr>
        <w:t xml:space="preserve"> 202</w:t>
      </w:r>
      <w:r w:rsidR="00081033" w:rsidRPr="00BB40C9">
        <w:rPr>
          <w:b/>
          <w:lang w:val="fr"/>
        </w:rPr>
        <w:t>3</w:t>
      </w:r>
      <w:r w:rsidRPr="00BB40C9">
        <w:rPr>
          <w:b/>
          <w:lang w:val="fr"/>
        </w:rPr>
        <w:t xml:space="preserve">, </w:t>
      </w:r>
      <w:r w:rsidR="00BB40C9" w:rsidRPr="00BB40C9">
        <w:rPr>
          <w:b/>
          <w:lang w:val="fr"/>
        </w:rPr>
        <w:t>7</w:t>
      </w:r>
      <w:r w:rsidRPr="00BB40C9">
        <w:rPr>
          <w:b/>
          <w:lang w:val="fr"/>
        </w:rPr>
        <w:t>h</w:t>
      </w:r>
      <w:r w:rsidR="00BB40C9" w:rsidRPr="00BB40C9">
        <w:rPr>
          <w:b/>
          <w:lang w:val="fr"/>
        </w:rPr>
        <w:t>3</w:t>
      </w:r>
      <w:r w:rsidRPr="00BB40C9">
        <w:rPr>
          <w:b/>
          <w:lang w:val="fr"/>
        </w:rPr>
        <w:t>0 CE</w:t>
      </w:r>
      <w:r w:rsidR="00F87D6A" w:rsidRPr="00BB40C9">
        <w:rPr>
          <w:b/>
          <w:lang w:val="fr"/>
        </w:rPr>
        <w:t>S</w:t>
      </w:r>
      <w:r w:rsidRPr="00BB40C9">
        <w:rPr>
          <w:b/>
          <w:lang w:val="fr"/>
        </w:rPr>
        <w:t>T</w:t>
      </w:r>
      <w:r w:rsidRPr="00937CB3">
        <w:rPr>
          <w:lang w:val="fr"/>
        </w:rPr>
        <w:t xml:space="preserve"> – GenSight Biologics (Euronext : SIGHT, ISIN : FR0013183985, éligible PEA-PME), société biopharmaceutique spécialisée dans le développement et la commercialisation de thérapies géniques innovantes pour les maladies neurodégénératives rétiniennes et les troubles du système nerveux central, </w:t>
      </w:r>
      <w:r w:rsidR="00F87D6A">
        <w:rPr>
          <w:lang w:val="fr"/>
        </w:rPr>
        <w:t>fait un point</w:t>
      </w:r>
      <w:r w:rsidRPr="00937CB3">
        <w:rPr>
          <w:lang w:val="fr"/>
        </w:rPr>
        <w:t xml:space="preserve"> aujourd’hui</w:t>
      </w:r>
      <w:r w:rsidR="00D11772">
        <w:rPr>
          <w:lang w:val="fr"/>
        </w:rPr>
        <w:t xml:space="preserve"> </w:t>
      </w:r>
      <w:r w:rsidR="00F87D6A">
        <w:rPr>
          <w:szCs w:val="20"/>
          <w:lang w:val="fr"/>
        </w:rPr>
        <w:t>sur sa situation financière et opérationnelle.</w:t>
      </w:r>
    </w:p>
    <w:p w14:paraId="465BE9E8" w14:textId="77777777" w:rsidR="00F87D6A" w:rsidRDefault="00F87D6A" w:rsidP="00F87D6A">
      <w:pPr>
        <w:spacing w:after="0" w:line="276" w:lineRule="auto"/>
        <w:ind w:left="0" w:right="0" w:firstLine="0"/>
        <w:rPr>
          <w:szCs w:val="20"/>
          <w:lang w:val="fr"/>
        </w:rPr>
      </w:pPr>
    </w:p>
    <w:p w14:paraId="7F56B308" w14:textId="77777777" w:rsidR="00F87D6A" w:rsidRPr="008363D9" w:rsidRDefault="00F87D6A" w:rsidP="00F87D6A">
      <w:pPr>
        <w:spacing w:after="0" w:line="276" w:lineRule="auto"/>
        <w:ind w:left="0" w:right="0" w:firstLine="0"/>
        <w:rPr>
          <w:lang w:val="fr-FR"/>
        </w:rPr>
      </w:pPr>
    </w:p>
    <w:p w14:paraId="0F12F984" w14:textId="34C68093" w:rsidR="009B5DEE" w:rsidRPr="00F87D6A" w:rsidRDefault="00F87D6A" w:rsidP="00F87D6A">
      <w:pPr>
        <w:spacing w:after="0" w:line="276" w:lineRule="auto"/>
        <w:ind w:right="58"/>
        <w:rPr>
          <w:b/>
          <w:bCs/>
          <w:lang w:val="fr-FR"/>
        </w:rPr>
      </w:pPr>
      <w:r w:rsidRPr="00F87D6A">
        <w:rPr>
          <w:b/>
          <w:bCs/>
          <w:lang w:val="fr-FR"/>
        </w:rPr>
        <w:t>Point sur la situation financière</w:t>
      </w:r>
    </w:p>
    <w:p w14:paraId="1E3DB352" w14:textId="77777777" w:rsidR="00F87D6A" w:rsidRDefault="00F87D6A" w:rsidP="00F87D6A">
      <w:pPr>
        <w:spacing w:after="0" w:line="276" w:lineRule="auto"/>
        <w:ind w:right="58"/>
        <w:rPr>
          <w:lang w:val="fr-FR"/>
        </w:rPr>
      </w:pPr>
    </w:p>
    <w:p w14:paraId="12F9ED76" w14:textId="22C83002" w:rsidR="00F87D6A" w:rsidRDefault="00F87D6A" w:rsidP="00F87D6A">
      <w:pPr>
        <w:spacing w:after="0" w:line="276" w:lineRule="auto"/>
        <w:ind w:right="58"/>
        <w:rPr>
          <w:lang w:val="fr-FR"/>
        </w:rPr>
      </w:pPr>
      <w:r w:rsidRPr="00F87D6A">
        <w:rPr>
          <w:lang w:val="fr-FR"/>
        </w:rPr>
        <w:t xml:space="preserve">Au cours des 2 derniers mois, GenSight a mis en place des mesures </w:t>
      </w:r>
      <w:r>
        <w:rPr>
          <w:lang w:val="fr-FR"/>
        </w:rPr>
        <w:t>visant à</w:t>
      </w:r>
      <w:r w:rsidRPr="00F87D6A">
        <w:rPr>
          <w:lang w:val="fr-FR"/>
        </w:rPr>
        <w:t xml:space="preserve"> préserv</w:t>
      </w:r>
      <w:r>
        <w:rPr>
          <w:lang w:val="fr-FR"/>
        </w:rPr>
        <w:t>er</w:t>
      </w:r>
      <w:r w:rsidRPr="00F87D6A">
        <w:rPr>
          <w:lang w:val="fr-FR"/>
        </w:rPr>
        <w:t xml:space="preserve"> </w:t>
      </w:r>
      <w:r>
        <w:rPr>
          <w:lang w:val="fr-FR"/>
        </w:rPr>
        <w:t>s</w:t>
      </w:r>
      <w:r w:rsidRPr="00F87D6A">
        <w:rPr>
          <w:lang w:val="fr-FR"/>
        </w:rPr>
        <w:t>a trésorerie, notamment une réduction de 40% de</w:t>
      </w:r>
      <w:r>
        <w:rPr>
          <w:lang w:val="fr-FR"/>
        </w:rPr>
        <w:t xml:space="preserve"> ses</w:t>
      </w:r>
      <w:r w:rsidRPr="00F87D6A">
        <w:rPr>
          <w:lang w:val="fr-FR"/>
        </w:rPr>
        <w:t xml:space="preserve"> effectifs</w:t>
      </w:r>
      <w:r>
        <w:rPr>
          <w:lang w:val="fr-FR"/>
        </w:rPr>
        <w:t>,</w:t>
      </w:r>
      <w:r w:rsidRPr="00F87D6A">
        <w:rPr>
          <w:lang w:val="fr-FR"/>
        </w:rPr>
        <w:t xml:space="preserve"> principalement dans les équipes commerciales,</w:t>
      </w:r>
      <w:r>
        <w:rPr>
          <w:lang w:val="fr-FR"/>
        </w:rPr>
        <w:t xml:space="preserve"> </w:t>
      </w:r>
      <w:r w:rsidRPr="00F87D6A">
        <w:rPr>
          <w:lang w:val="fr-FR"/>
        </w:rPr>
        <w:t xml:space="preserve">entraînant une réduction significative d'environ 40% de ses dépenses </w:t>
      </w:r>
      <w:r w:rsidR="00351371">
        <w:rPr>
          <w:lang w:val="fr-FR"/>
        </w:rPr>
        <w:t>opérationnelles</w:t>
      </w:r>
      <w:r w:rsidRPr="00F87D6A">
        <w:rPr>
          <w:lang w:val="fr-FR"/>
        </w:rPr>
        <w:t xml:space="preserve"> prévues en 2023. La Société a également pu récupérer son Crédit d'Impôt Recherche 2022</w:t>
      </w:r>
      <w:r w:rsidR="00351371">
        <w:rPr>
          <w:lang w:val="fr-FR"/>
        </w:rPr>
        <w:t>,</w:t>
      </w:r>
      <w:r w:rsidRPr="00F87D6A">
        <w:rPr>
          <w:lang w:val="fr-FR"/>
        </w:rPr>
        <w:t xml:space="preserve"> d'un montant de 2,2 </w:t>
      </w:r>
      <w:r w:rsidR="00351371">
        <w:rPr>
          <w:lang w:val="fr-FR"/>
        </w:rPr>
        <w:t>millions d’euros,</w:t>
      </w:r>
      <w:r w:rsidRPr="00F87D6A">
        <w:rPr>
          <w:lang w:val="fr-FR"/>
        </w:rPr>
        <w:t xml:space="preserve"> en juillet 2023, bien plus rapide</w:t>
      </w:r>
      <w:r w:rsidR="00351371">
        <w:rPr>
          <w:lang w:val="fr-FR"/>
        </w:rPr>
        <w:t>ment</w:t>
      </w:r>
      <w:r w:rsidRPr="00F87D6A">
        <w:rPr>
          <w:lang w:val="fr-FR"/>
        </w:rPr>
        <w:t xml:space="preserve"> qu'en conditions normales d'exploitation où il n'est pas </w:t>
      </w:r>
      <w:proofErr w:type="gramStart"/>
      <w:r w:rsidRPr="00F87D6A">
        <w:rPr>
          <w:lang w:val="fr-FR"/>
        </w:rPr>
        <w:t>attendu</w:t>
      </w:r>
      <w:proofErr w:type="gramEnd"/>
      <w:r w:rsidRPr="00F87D6A">
        <w:rPr>
          <w:lang w:val="fr-FR"/>
        </w:rPr>
        <w:t xml:space="preserve"> avant la fin de l'année. Ces mesures ont contribué à une extension </w:t>
      </w:r>
      <w:r w:rsidR="00351371">
        <w:rPr>
          <w:lang w:val="fr-FR"/>
        </w:rPr>
        <w:t>de l’horizon</w:t>
      </w:r>
      <w:r w:rsidRPr="00F87D6A">
        <w:rPr>
          <w:lang w:val="fr-FR"/>
        </w:rPr>
        <w:t xml:space="preserve"> de trésorerie de juin à fin juillet 2023, permettant de </w:t>
      </w:r>
      <w:r w:rsidR="00351371">
        <w:rPr>
          <w:lang w:val="fr-FR"/>
        </w:rPr>
        <w:t>poursuivre</w:t>
      </w:r>
      <w:r w:rsidRPr="00F87D6A">
        <w:rPr>
          <w:lang w:val="fr-FR"/>
        </w:rPr>
        <w:t xml:space="preserve"> les discussions sur un financement avec un nombre limité d'actionnaires existants et de nouveaux investisseurs.</w:t>
      </w:r>
    </w:p>
    <w:p w14:paraId="7FE16E47" w14:textId="77777777" w:rsidR="00351371" w:rsidRDefault="00351371" w:rsidP="00F87D6A">
      <w:pPr>
        <w:spacing w:after="0" w:line="276" w:lineRule="auto"/>
        <w:ind w:right="58"/>
        <w:rPr>
          <w:lang w:val="fr-FR"/>
        </w:rPr>
      </w:pPr>
    </w:p>
    <w:p w14:paraId="2A5034BB" w14:textId="3968D129" w:rsidR="00351371" w:rsidRPr="00351371" w:rsidRDefault="00351371" w:rsidP="00351371">
      <w:pPr>
        <w:spacing w:after="0" w:line="276" w:lineRule="auto"/>
        <w:ind w:right="58"/>
        <w:rPr>
          <w:lang w:val="fr-FR"/>
        </w:rPr>
      </w:pPr>
      <w:r w:rsidRPr="00351371">
        <w:rPr>
          <w:lang w:val="fr-FR"/>
        </w:rPr>
        <w:t xml:space="preserve">Cette réduction significative </w:t>
      </w:r>
      <w:r w:rsidR="005B36AF">
        <w:rPr>
          <w:lang w:val="fr-FR"/>
        </w:rPr>
        <w:t xml:space="preserve">du </w:t>
      </w:r>
      <w:r w:rsidR="005B36AF" w:rsidRPr="005B36AF">
        <w:rPr>
          <w:i/>
          <w:iCs/>
          <w:lang w:val="fr-FR"/>
        </w:rPr>
        <w:t xml:space="preserve">cash </w:t>
      </w:r>
      <w:proofErr w:type="spellStart"/>
      <w:r w:rsidR="005B36AF" w:rsidRPr="005B36AF">
        <w:rPr>
          <w:i/>
          <w:iCs/>
          <w:lang w:val="fr-FR"/>
        </w:rPr>
        <w:t>burn</w:t>
      </w:r>
      <w:proofErr w:type="spellEnd"/>
      <w:r w:rsidR="005B36AF">
        <w:rPr>
          <w:lang w:val="fr-FR"/>
        </w:rPr>
        <w:t xml:space="preserve"> opérationnel</w:t>
      </w:r>
      <w:r w:rsidRPr="00351371">
        <w:rPr>
          <w:lang w:val="fr-FR"/>
        </w:rPr>
        <w:t xml:space="preserve"> profitera principalement à 2024 et aux années suivantes</w:t>
      </w:r>
      <w:r w:rsidR="005B36AF">
        <w:rPr>
          <w:lang w:val="fr-FR"/>
        </w:rPr>
        <w:t>,</w:t>
      </w:r>
      <w:r w:rsidRPr="00351371">
        <w:rPr>
          <w:lang w:val="fr-FR"/>
        </w:rPr>
        <w:t xml:space="preserve"> jusqu'à ce que la Société puisse obtenir l'approbation de l'Agence européenne des médicaments (EMA) et lancer LUMEVOQ</w:t>
      </w:r>
      <w:r w:rsidRPr="005B36AF">
        <w:rPr>
          <w:vertAlign w:val="superscript"/>
          <w:lang w:val="fr-FR"/>
        </w:rPr>
        <w:t>®</w:t>
      </w:r>
      <w:r w:rsidRPr="00351371">
        <w:rPr>
          <w:lang w:val="fr-FR"/>
        </w:rPr>
        <w:t xml:space="preserve"> en Europe.</w:t>
      </w:r>
    </w:p>
    <w:p w14:paraId="6203BC94" w14:textId="77777777" w:rsidR="00351371" w:rsidRPr="00351371" w:rsidRDefault="00351371" w:rsidP="00351371">
      <w:pPr>
        <w:spacing w:after="0" w:line="276" w:lineRule="auto"/>
        <w:ind w:right="58"/>
        <w:rPr>
          <w:lang w:val="fr-FR"/>
        </w:rPr>
      </w:pPr>
    </w:p>
    <w:p w14:paraId="5DB4D76F" w14:textId="052CD290" w:rsidR="00351371" w:rsidRDefault="00351371" w:rsidP="00351371">
      <w:pPr>
        <w:spacing w:after="0" w:line="276" w:lineRule="auto"/>
        <w:ind w:right="58"/>
        <w:rPr>
          <w:lang w:val="fr-FR"/>
        </w:rPr>
      </w:pPr>
      <w:r w:rsidRPr="00351371">
        <w:rPr>
          <w:lang w:val="fr-FR"/>
        </w:rPr>
        <w:t>En parallèle, la Société fait également avancer un certain nombre de discussions avec des partenaires potentiels sur des opportunités stratégiques, y compris une fusion ou une acquisition, évaluée</w:t>
      </w:r>
      <w:r w:rsidR="005B36AF">
        <w:rPr>
          <w:lang w:val="fr-FR"/>
        </w:rPr>
        <w:t>s</w:t>
      </w:r>
      <w:r w:rsidRPr="00351371">
        <w:rPr>
          <w:lang w:val="fr-FR"/>
        </w:rPr>
        <w:t xml:space="preserve"> comme l'une des options pertinentes pour aller de l'avant.</w:t>
      </w:r>
    </w:p>
    <w:p w14:paraId="60FC7438" w14:textId="77777777" w:rsidR="005B36AF" w:rsidRDefault="005B36AF" w:rsidP="00351371">
      <w:pPr>
        <w:spacing w:after="0" w:line="276" w:lineRule="auto"/>
        <w:ind w:right="58"/>
        <w:rPr>
          <w:lang w:val="fr-FR"/>
        </w:rPr>
      </w:pPr>
    </w:p>
    <w:p w14:paraId="2F3EBB33" w14:textId="77777777" w:rsidR="005B36AF" w:rsidRDefault="005B36AF" w:rsidP="00351371">
      <w:pPr>
        <w:spacing w:after="0" w:line="276" w:lineRule="auto"/>
        <w:ind w:right="58"/>
        <w:rPr>
          <w:lang w:val="fr-FR"/>
        </w:rPr>
      </w:pPr>
    </w:p>
    <w:p w14:paraId="22A75963" w14:textId="77777777" w:rsidR="002A6994" w:rsidRDefault="002A6994" w:rsidP="00351371">
      <w:pPr>
        <w:spacing w:after="0" w:line="276" w:lineRule="auto"/>
        <w:ind w:right="58"/>
        <w:rPr>
          <w:b/>
          <w:bCs/>
          <w:lang w:val="fr-FR"/>
        </w:rPr>
      </w:pPr>
    </w:p>
    <w:p w14:paraId="6A2E99B5" w14:textId="19FD3A04" w:rsidR="005B36AF" w:rsidRPr="005B36AF" w:rsidRDefault="005B36AF" w:rsidP="00351371">
      <w:pPr>
        <w:spacing w:after="0" w:line="276" w:lineRule="auto"/>
        <w:ind w:right="58"/>
        <w:rPr>
          <w:b/>
          <w:bCs/>
          <w:lang w:val="fr-FR"/>
        </w:rPr>
      </w:pPr>
      <w:r w:rsidRPr="005B36AF">
        <w:rPr>
          <w:b/>
          <w:bCs/>
          <w:lang w:val="fr-FR"/>
        </w:rPr>
        <w:lastRenderedPageBreak/>
        <w:t>Point sur la production</w:t>
      </w:r>
    </w:p>
    <w:p w14:paraId="583D78AC" w14:textId="77777777" w:rsidR="005B36AF" w:rsidRDefault="005B36AF" w:rsidP="00351371">
      <w:pPr>
        <w:spacing w:after="0" w:line="276" w:lineRule="auto"/>
        <w:ind w:right="58"/>
        <w:rPr>
          <w:lang w:val="fr-FR"/>
        </w:rPr>
      </w:pPr>
    </w:p>
    <w:p w14:paraId="0F0375C6" w14:textId="56769D4F" w:rsidR="005B36AF" w:rsidRPr="005B36AF" w:rsidRDefault="005B36AF" w:rsidP="005B36AF">
      <w:pPr>
        <w:spacing w:after="0" w:line="276" w:lineRule="auto"/>
        <w:ind w:right="58"/>
        <w:rPr>
          <w:lang w:val="fr-FR"/>
        </w:rPr>
      </w:pPr>
      <w:r w:rsidRPr="005B36AF">
        <w:rPr>
          <w:lang w:val="fr-FR"/>
        </w:rPr>
        <w:t xml:space="preserve">GenSight a </w:t>
      </w:r>
      <w:r>
        <w:rPr>
          <w:lang w:val="fr-FR"/>
        </w:rPr>
        <w:t>poursuivi</w:t>
      </w:r>
      <w:r w:rsidRPr="005B36AF">
        <w:rPr>
          <w:lang w:val="fr-FR"/>
        </w:rPr>
        <w:t xml:space="preserve"> </w:t>
      </w:r>
      <w:r>
        <w:rPr>
          <w:lang w:val="fr-FR"/>
        </w:rPr>
        <w:t>l’</w:t>
      </w:r>
      <w:r w:rsidRPr="005B36AF">
        <w:rPr>
          <w:lang w:val="fr-FR"/>
        </w:rPr>
        <w:t xml:space="preserve">étroite collaboration avec son partenaire de fabrication aux États-Unis </w:t>
      </w:r>
      <w:r>
        <w:rPr>
          <w:lang w:val="fr-FR"/>
        </w:rPr>
        <w:t>afin</w:t>
      </w:r>
      <w:r w:rsidRPr="005B36AF">
        <w:rPr>
          <w:lang w:val="fr-FR"/>
        </w:rPr>
        <w:t xml:space="preserve"> </w:t>
      </w:r>
      <w:r>
        <w:rPr>
          <w:lang w:val="fr-FR"/>
        </w:rPr>
        <w:t>d’</w:t>
      </w:r>
      <w:r w:rsidRPr="005B36AF">
        <w:rPr>
          <w:lang w:val="fr-FR"/>
        </w:rPr>
        <w:t xml:space="preserve">améliorer la documentation, la formation et la supervision des équipes </w:t>
      </w:r>
      <w:r>
        <w:rPr>
          <w:lang w:val="fr-FR"/>
        </w:rPr>
        <w:t xml:space="preserve">opérationnelles de production </w:t>
      </w:r>
      <w:r w:rsidRPr="005B36AF">
        <w:rPr>
          <w:lang w:val="fr-FR"/>
        </w:rPr>
        <w:t>en vue d'une nouvelle campagne de fabrication.</w:t>
      </w:r>
    </w:p>
    <w:p w14:paraId="12C9F4F0" w14:textId="77777777" w:rsidR="005B36AF" w:rsidRPr="005B36AF" w:rsidRDefault="005B36AF" w:rsidP="005B36AF">
      <w:pPr>
        <w:spacing w:after="0" w:line="276" w:lineRule="auto"/>
        <w:ind w:right="58"/>
        <w:rPr>
          <w:lang w:val="fr-FR"/>
        </w:rPr>
      </w:pPr>
    </w:p>
    <w:p w14:paraId="68C66404" w14:textId="750AC2E6" w:rsidR="005B36AF" w:rsidRPr="005B36AF" w:rsidRDefault="005B36AF" w:rsidP="005B36AF">
      <w:pPr>
        <w:spacing w:after="0" w:line="276" w:lineRule="auto"/>
        <w:ind w:right="58"/>
        <w:rPr>
          <w:lang w:val="fr-FR"/>
        </w:rPr>
      </w:pPr>
      <w:r w:rsidRPr="005B36AF">
        <w:rPr>
          <w:lang w:val="fr-FR"/>
        </w:rPr>
        <w:t>Compte tenu de la décision de retirer sa demande d'</w:t>
      </w:r>
      <w:r>
        <w:rPr>
          <w:lang w:val="fr-FR"/>
        </w:rPr>
        <w:t>Autorisation de Mise sur le Marché (AAM) auprès de l’</w:t>
      </w:r>
      <w:r w:rsidRPr="005B36AF">
        <w:rPr>
          <w:lang w:val="fr-FR"/>
        </w:rPr>
        <w:t xml:space="preserve">EMA, il n'y a pas </w:t>
      </w:r>
      <w:r w:rsidR="00096513">
        <w:rPr>
          <w:lang w:val="fr-FR"/>
        </w:rPr>
        <w:t xml:space="preserve">de </w:t>
      </w:r>
      <w:r w:rsidRPr="005B36AF">
        <w:rPr>
          <w:lang w:val="fr-FR"/>
        </w:rPr>
        <w:t>besoin immédiat d'une campagne de validation (PPQ) jusqu'à ce qu'une nouvelle demande d'</w:t>
      </w:r>
      <w:r>
        <w:rPr>
          <w:lang w:val="fr-FR"/>
        </w:rPr>
        <w:t xml:space="preserve">AMM </w:t>
      </w:r>
      <w:r w:rsidRPr="005B36AF">
        <w:rPr>
          <w:lang w:val="fr-FR"/>
        </w:rPr>
        <w:t xml:space="preserve">soit soumise. Il a donc été décidé de fabriquer les 3 lots GMP prévus, en utilisant le </w:t>
      </w:r>
      <w:r w:rsidR="007509E7">
        <w:rPr>
          <w:lang w:val="fr-FR"/>
        </w:rPr>
        <w:t>procédé de fabrication</w:t>
      </w:r>
      <w:r w:rsidRPr="005B36AF">
        <w:rPr>
          <w:lang w:val="fr-FR"/>
        </w:rPr>
        <w:t xml:space="preserve"> commercial</w:t>
      </w:r>
      <w:r w:rsidR="007509E7">
        <w:rPr>
          <w:lang w:val="fr-FR"/>
        </w:rPr>
        <w:t>,</w:t>
      </w:r>
      <w:r w:rsidRPr="005B36AF">
        <w:rPr>
          <w:lang w:val="fr-FR"/>
        </w:rPr>
        <w:t xml:space="preserve"> mais </w:t>
      </w:r>
      <w:r w:rsidR="007509E7">
        <w:rPr>
          <w:lang w:val="fr-FR"/>
        </w:rPr>
        <w:t xml:space="preserve">en dehors </w:t>
      </w:r>
      <w:r w:rsidR="0023604E">
        <w:rPr>
          <w:lang w:val="fr-FR"/>
        </w:rPr>
        <w:t xml:space="preserve">du contexte d’une </w:t>
      </w:r>
      <w:r w:rsidRPr="005B36AF">
        <w:rPr>
          <w:lang w:val="fr-FR"/>
        </w:rPr>
        <w:t>campagne de validation</w:t>
      </w:r>
      <w:r w:rsidR="007509E7">
        <w:rPr>
          <w:rStyle w:val="Appelnotedebasdep"/>
          <w:lang w:val="fr-FR"/>
        </w:rPr>
        <w:footnoteReference w:id="1"/>
      </w:r>
      <w:r w:rsidR="007509E7">
        <w:rPr>
          <w:lang w:val="fr-FR"/>
        </w:rPr>
        <w:t xml:space="preserve">. Cela </w:t>
      </w:r>
      <w:r w:rsidRPr="005B36AF">
        <w:rPr>
          <w:lang w:val="fr-FR"/>
        </w:rPr>
        <w:t>permettr</w:t>
      </w:r>
      <w:r w:rsidR="00096513">
        <w:rPr>
          <w:lang w:val="fr-FR"/>
        </w:rPr>
        <w:t>a</w:t>
      </w:r>
      <w:r w:rsidRPr="005B36AF">
        <w:rPr>
          <w:lang w:val="fr-FR"/>
        </w:rPr>
        <w:t xml:space="preserve"> </w:t>
      </w:r>
      <w:r w:rsidR="007509E7">
        <w:rPr>
          <w:lang w:val="fr-FR"/>
        </w:rPr>
        <w:t xml:space="preserve">d’acquérir </w:t>
      </w:r>
      <w:r w:rsidRPr="005B36AF">
        <w:rPr>
          <w:lang w:val="fr-FR"/>
        </w:rPr>
        <w:t xml:space="preserve">plus de données </w:t>
      </w:r>
      <w:r w:rsidR="007509E7">
        <w:rPr>
          <w:lang w:val="fr-FR"/>
        </w:rPr>
        <w:t xml:space="preserve">de production </w:t>
      </w:r>
      <w:r w:rsidRPr="005B36AF">
        <w:rPr>
          <w:lang w:val="fr-FR"/>
        </w:rPr>
        <w:t xml:space="preserve">de lots pour </w:t>
      </w:r>
      <w:r w:rsidR="007509E7">
        <w:rPr>
          <w:lang w:val="fr-FR"/>
        </w:rPr>
        <w:t xml:space="preserve">renforcer </w:t>
      </w:r>
      <w:r w:rsidRPr="005B36AF">
        <w:rPr>
          <w:lang w:val="fr-FR"/>
        </w:rPr>
        <w:t xml:space="preserve">un futur dépôt </w:t>
      </w:r>
      <w:r w:rsidR="007509E7">
        <w:rPr>
          <w:lang w:val="fr-FR"/>
        </w:rPr>
        <w:t>d’AMM</w:t>
      </w:r>
      <w:r w:rsidRPr="005B36AF">
        <w:rPr>
          <w:lang w:val="fr-FR"/>
        </w:rPr>
        <w:t xml:space="preserve">, plus d'expérience </w:t>
      </w:r>
      <w:r w:rsidR="007509E7">
        <w:rPr>
          <w:lang w:val="fr-FR"/>
        </w:rPr>
        <w:t xml:space="preserve">avec le </w:t>
      </w:r>
      <w:r w:rsidRPr="005B36AF">
        <w:rPr>
          <w:lang w:val="fr-FR"/>
        </w:rPr>
        <w:t xml:space="preserve">procédé de fabrication pour les équipes </w:t>
      </w:r>
      <w:r w:rsidR="007509E7">
        <w:rPr>
          <w:lang w:val="fr-FR"/>
        </w:rPr>
        <w:t>opérationnelles</w:t>
      </w:r>
      <w:r w:rsidRPr="005B36AF">
        <w:rPr>
          <w:lang w:val="fr-FR"/>
        </w:rPr>
        <w:t xml:space="preserve">, tout en répondant au besoin immédiat de fournir </w:t>
      </w:r>
      <w:r w:rsidR="007509E7">
        <w:rPr>
          <w:lang w:val="fr-FR"/>
        </w:rPr>
        <w:t>du</w:t>
      </w:r>
      <w:r w:rsidRPr="005B36AF">
        <w:rPr>
          <w:lang w:val="fr-FR"/>
        </w:rPr>
        <w:t xml:space="preserve"> produit à la fois pour lancer un éventuel nouvel essai clinique</w:t>
      </w:r>
      <w:r w:rsidR="007509E7">
        <w:rPr>
          <w:lang w:val="fr-FR"/>
        </w:rPr>
        <w:t>,</w:t>
      </w:r>
      <w:r w:rsidRPr="005B36AF">
        <w:rPr>
          <w:lang w:val="fr-FR"/>
        </w:rPr>
        <w:t xml:space="preserve"> et pour reprendre le programme d'accès précoce pour les patients </w:t>
      </w:r>
      <w:r w:rsidR="007509E7">
        <w:rPr>
          <w:lang w:val="fr-FR"/>
        </w:rPr>
        <w:t>au T1</w:t>
      </w:r>
      <w:r w:rsidRPr="005B36AF">
        <w:rPr>
          <w:lang w:val="fr-FR"/>
        </w:rPr>
        <w:t xml:space="preserve"> 2024.</w:t>
      </w:r>
    </w:p>
    <w:p w14:paraId="1DF7DC93" w14:textId="77777777" w:rsidR="005B36AF" w:rsidRPr="005B36AF" w:rsidRDefault="005B36AF" w:rsidP="005B36AF">
      <w:pPr>
        <w:spacing w:after="0" w:line="276" w:lineRule="auto"/>
        <w:ind w:right="58"/>
        <w:rPr>
          <w:lang w:val="fr-FR"/>
        </w:rPr>
      </w:pPr>
    </w:p>
    <w:p w14:paraId="68435CB9" w14:textId="1879F6C9" w:rsidR="005B36AF" w:rsidRDefault="005B36AF" w:rsidP="005B36AF">
      <w:pPr>
        <w:spacing w:after="0" w:line="276" w:lineRule="auto"/>
        <w:ind w:right="58"/>
        <w:rPr>
          <w:lang w:val="fr-FR"/>
        </w:rPr>
      </w:pPr>
      <w:r w:rsidRPr="005B36AF">
        <w:rPr>
          <w:lang w:val="fr-FR"/>
        </w:rPr>
        <w:t xml:space="preserve">GenSight prévoit de commencer la fabrication de ces 3 lots GMP </w:t>
      </w:r>
      <w:r w:rsidR="0023604E">
        <w:rPr>
          <w:lang w:val="fr-FR"/>
        </w:rPr>
        <w:t>début</w:t>
      </w:r>
      <w:r w:rsidRPr="005B36AF">
        <w:rPr>
          <w:lang w:val="fr-FR"/>
        </w:rPr>
        <w:t xml:space="preserve"> août, avec des résultats </w:t>
      </w:r>
      <w:r w:rsidR="002933F1">
        <w:rPr>
          <w:lang w:val="fr-FR"/>
        </w:rPr>
        <w:t xml:space="preserve">attendus </w:t>
      </w:r>
      <w:r w:rsidR="0023604E">
        <w:rPr>
          <w:lang w:val="fr-FR"/>
        </w:rPr>
        <w:t>sur septembre et octobre</w:t>
      </w:r>
      <w:r w:rsidRPr="005B36AF">
        <w:rPr>
          <w:lang w:val="fr-FR"/>
        </w:rPr>
        <w:t xml:space="preserve"> 2023. </w:t>
      </w:r>
      <w:r w:rsidR="00BB40C9">
        <w:rPr>
          <w:lang w:val="fr-FR"/>
        </w:rPr>
        <w:t>Le produit</w:t>
      </w:r>
      <w:r w:rsidRPr="005B36AF">
        <w:rPr>
          <w:lang w:val="fr-FR"/>
        </w:rPr>
        <w:t xml:space="preserve"> serait entièrement libéré pour un usage humain au </w:t>
      </w:r>
      <w:r w:rsidR="002933F1">
        <w:rPr>
          <w:lang w:val="fr-FR"/>
        </w:rPr>
        <w:t>T1</w:t>
      </w:r>
      <w:r w:rsidRPr="005B36AF">
        <w:rPr>
          <w:lang w:val="fr-FR"/>
        </w:rPr>
        <w:t xml:space="preserve"> 2024.</w:t>
      </w:r>
    </w:p>
    <w:p w14:paraId="3B9E0139" w14:textId="77777777" w:rsidR="002933F1" w:rsidRDefault="002933F1" w:rsidP="005B36AF">
      <w:pPr>
        <w:spacing w:after="0" w:line="276" w:lineRule="auto"/>
        <w:ind w:right="58"/>
        <w:rPr>
          <w:lang w:val="fr-FR"/>
        </w:rPr>
      </w:pPr>
    </w:p>
    <w:p w14:paraId="5390A946" w14:textId="77777777" w:rsidR="002933F1" w:rsidRDefault="002933F1" w:rsidP="005B36AF">
      <w:pPr>
        <w:spacing w:after="0" w:line="276" w:lineRule="auto"/>
        <w:ind w:right="58"/>
        <w:rPr>
          <w:lang w:val="fr-FR"/>
        </w:rPr>
      </w:pPr>
    </w:p>
    <w:p w14:paraId="688803BD" w14:textId="47F85AFE" w:rsidR="002933F1" w:rsidRPr="002933F1" w:rsidRDefault="002933F1" w:rsidP="005B36AF">
      <w:pPr>
        <w:spacing w:after="0" w:line="276" w:lineRule="auto"/>
        <w:ind w:right="58"/>
        <w:rPr>
          <w:b/>
          <w:bCs/>
          <w:lang w:val="fr-FR"/>
        </w:rPr>
      </w:pPr>
      <w:r w:rsidRPr="002933F1">
        <w:rPr>
          <w:b/>
          <w:bCs/>
          <w:lang w:val="fr-FR"/>
        </w:rPr>
        <w:t>Point réglementaire</w:t>
      </w:r>
    </w:p>
    <w:p w14:paraId="0C89440C" w14:textId="77777777" w:rsidR="002933F1" w:rsidRDefault="002933F1" w:rsidP="005B36AF">
      <w:pPr>
        <w:spacing w:after="0" w:line="276" w:lineRule="auto"/>
        <w:ind w:right="58"/>
        <w:rPr>
          <w:lang w:val="fr-FR"/>
        </w:rPr>
      </w:pPr>
    </w:p>
    <w:p w14:paraId="040B6A79" w14:textId="4EDF0FFA" w:rsidR="002933F1" w:rsidRDefault="002933F1" w:rsidP="005B36AF">
      <w:pPr>
        <w:spacing w:after="0" w:line="276" w:lineRule="auto"/>
        <w:ind w:right="58"/>
        <w:rPr>
          <w:lang w:val="fr-FR"/>
        </w:rPr>
      </w:pPr>
      <w:r w:rsidRPr="002933F1">
        <w:rPr>
          <w:lang w:val="fr-FR"/>
        </w:rPr>
        <w:t xml:space="preserve">Comme prévu, GenSight a demandé une réunion d'avis scientifique </w:t>
      </w:r>
      <w:r w:rsidR="005F3211">
        <w:rPr>
          <w:lang w:val="fr-FR"/>
        </w:rPr>
        <w:t>(</w:t>
      </w:r>
      <w:r w:rsidR="005F3211" w:rsidRPr="005F3211">
        <w:rPr>
          <w:i/>
          <w:iCs/>
          <w:lang w:val="fr-FR"/>
        </w:rPr>
        <w:t xml:space="preserve">Scientific </w:t>
      </w:r>
      <w:proofErr w:type="spellStart"/>
      <w:r w:rsidR="005F3211" w:rsidRPr="005F3211">
        <w:rPr>
          <w:i/>
          <w:iCs/>
          <w:lang w:val="fr-FR"/>
        </w:rPr>
        <w:t>Advice</w:t>
      </w:r>
      <w:proofErr w:type="spellEnd"/>
      <w:r w:rsidR="005F3211">
        <w:rPr>
          <w:i/>
          <w:iCs/>
          <w:lang w:val="fr-FR"/>
        </w:rPr>
        <w:t xml:space="preserve"> </w:t>
      </w:r>
      <w:proofErr w:type="gramStart"/>
      <w:r w:rsidR="005F3211">
        <w:rPr>
          <w:i/>
          <w:iCs/>
          <w:lang w:val="fr-FR"/>
        </w:rPr>
        <w:t>meeting</w:t>
      </w:r>
      <w:proofErr w:type="gramEnd"/>
      <w:r w:rsidR="005F3211">
        <w:rPr>
          <w:lang w:val="fr-FR"/>
        </w:rPr>
        <w:t>) à</w:t>
      </w:r>
      <w:r w:rsidRPr="002933F1">
        <w:rPr>
          <w:lang w:val="fr-FR"/>
        </w:rPr>
        <w:t xml:space="preserve"> l'EMA </w:t>
      </w:r>
      <w:r w:rsidR="005F3211">
        <w:rPr>
          <w:lang w:val="fr-FR"/>
        </w:rPr>
        <w:t>afin de</w:t>
      </w:r>
      <w:r w:rsidRPr="002933F1">
        <w:rPr>
          <w:lang w:val="fr-FR"/>
        </w:rPr>
        <w:t xml:space="preserve"> discuter d'une nouvelle voie réglementaire pour LUMEVOQ</w:t>
      </w:r>
      <w:r w:rsidRPr="005F3211">
        <w:rPr>
          <w:vertAlign w:val="superscript"/>
          <w:lang w:val="fr-FR"/>
        </w:rPr>
        <w:t>®</w:t>
      </w:r>
      <w:r w:rsidRPr="002933F1">
        <w:rPr>
          <w:lang w:val="fr-FR"/>
        </w:rPr>
        <w:t xml:space="preserve"> en Europe, y compris </w:t>
      </w:r>
      <w:r w:rsidR="005F3211">
        <w:rPr>
          <w:lang w:val="fr-FR"/>
        </w:rPr>
        <w:t>du</w:t>
      </w:r>
      <w:r w:rsidRPr="002933F1">
        <w:rPr>
          <w:lang w:val="fr-FR"/>
        </w:rPr>
        <w:t xml:space="preserve"> besoin potentiel de générer des données cliniques supplémentaires. </w:t>
      </w:r>
      <w:r w:rsidR="005F3211">
        <w:rPr>
          <w:lang w:val="fr-FR"/>
        </w:rPr>
        <w:t xml:space="preserve">Cette réunion </w:t>
      </w:r>
      <w:r w:rsidRPr="002933F1">
        <w:rPr>
          <w:lang w:val="fr-FR"/>
        </w:rPr>
        <w:t>est confirmé</w:t>
      </w:r>
      <w:r w:rsidR="005F3211">
        <w:rPr>
          <w:lang w:val="fr-FR"/>
        </w:rPr>
        <w:t>e</w:t>
      </w:r>
      <w:r w:rsidRPr="002933F1">
        <w:rPr>
          <w:lang w:val="fr-FR"/>
        </w:rPr>
        <w:t xml:space="preserve"> </w:t>
      </w:r>
      <w:r w:rsidR="005F3211">
        <w:rPr>
          <w:lang w:val="fr-FR"/>
        </w:rPr>
        <w:t>et</w:t>
      </w:r>
      <w:r w:rsidRPr="002933F1">
        <w:rPr>
          <w:lang w:val="fr-FR"/>
        </w:rPr>
        <w:t xml:space="preserve"> aura lieu fin septembre, avec un </w:t>
      </w:r>
      <w:r w:rsidR="00DE0481">
        <w:rPr>
          <w:lang w:val="fr-FR"/>
        </w:rPr>
        <w:t>compte-rendu</w:t>
      </w:r>
      <w:r w:rsidRPr="002933F1">
        <w:rPr>
          <w:lang w:val="fr-FR"/>
        </w:rPr>
        <w:t xml:space="preserve"> attendu fin octobre.</w:t>
      </w:r>
    </w:p>
    <w:p w14:paraId="593728F0" w14:textId="77777777" w:rsidR="00DE0481" w:rsidRDefault="00DE0481" w:rsidP="005B36AF">
      <w:pPr>
        <w:spacing w:after="0" w:line="276" w:lineRule="auto"/>
        <w:ind w:right="58"/>
        <w:rPr>
          <w:lang w:val="fr-FR"/>
        </w:rPr>
      </w:pPr>
    </w:p>
    <w:p w14:paraId="57897482" w14:textId="77777777" w:rsidR="00DE0481" w:rsidRDefault="00DE0481" w:rsidP="005B36AF">
      <w:pPr>
        <w:spacing w:after="0" w:line="276" w:lineRule="auto"/>
        <w:ind w:right="58"/>
        <w:rPr>
          <w:lang w:val="fr-FR"/>
        </w:rPr>
      </w:pPr>
    </w:p>
    <w:p w14:paraId="04584EB7" w14:textId="4A8B9773" w:rsidR="00DE0481" w:rsidRPr="002A6994" w:rsidRDefault="00DE0481" w:rsidP="005B36AF">
      <w:pPr>
        <w:spacing w:after="0" w:line="276" w:lineRule="auto"/>
        <w:ind w:right="58"/>
        <w:rPr>
          <w:b/>
          <w:bCs/>
          <w:lang w:val="fr-FR"/>
        </w:rPr>
      </w:pPr>
      <w:r w:rsidRPr="002A6994">
        <w:rPr>
          <w:b/>
          <w:bCs/>
          <w:lang w:val="fr-FR"/>
        </w:rPr>
        <w:t>Point sur le calendrier financier</w:t>
      </w:r>
    </w:p>
    <w:p w14:paraId="08E2EE3A" w14:textId="77777777" w:rsidR="00DE0481" w:rsidRDefault="00DE0481" w:rsidP="005B36AF">
      <w:pPr>
        <w:spacing w:after="0" w:line="276" w:lineRule="auto"/>
        <w:ind w:right="58"/>
        <w:rPr>
          <w:lang w:val="fr-FR"/>
        </w:rPr>
      </w:pPr>
    </w:p>
    <w:p w14:paraId="355326B8" w14:textId="089C2C33" w:rsidR="00DE0481" w:rsidRPr="00DE0481" w:rsidRDefault="00DE0481" w:rsidP="00DE0481">
      <w:pPr>
        <w:spacing w:after="0" w:line="276" w:lineRule="auto"/>
        <w:ind w:right="58"/>
        <w:rPr>
          <w:lang w:val="fr-FR"/>
        </w:rPr>
      </w:pPr>
      <w:r w:rsidRPr="00DE0481">
        <w:rPr>
          <w:lang w:val="fr-FR"/>
        </w:rPr>
        <w:t xml:space="preserve">Compte tenu du contexte particulier du mois de juillet, la Société a décidé de reporter au 15 septembre 2023 l'approbation par le Conseil d'administration et la </w:t>
      </w:r>
      <w:r>
        <w:rPr>
          <w:lang w:val="fr-FR"/>
        </w:rPr>
        <w:t xml:space="preserve">publication de son Rapport Financier Semestriel </w:t>
      </w:r>
      <w:r w:rsidRPr="00DE0481">
        <w:rPr>
          <w:lang w:val="fr-FR"/>
        </w:rPr>
        <w:t>au 30 juin 2023, initialement prévue</w:t>
      </w:r>
      <w:r w:rsidR="0023604E">
        <w:rPr>
          <w:lang w:val="fr-FR"/>
        </w:rPr>
        <w:t>s</w:t>
      </w:r>
      <w:r w:rsidRPr="00DE0481">
        <w:rPr>
          <w:lang w:val="fr-FR"/>
        </w:rPr>
        <w:t xml:space="preserve"> le 26 juillet.</w:t>
      </w:r>
    </w:p>
    <w:p w14:paraId="5201348A" w14:textId="77777777" w:rsidR="00DE0481" w:rsidRPr="00DE0481" w:rsidRDefault="00DE0481" w:rsidP="00DE0481">
      <w:pPr>
        <w:spacing w:after="0" w:line="276" w:lineRule="auto"/>
        <w:ind w:right="58"/>
        <w:rPr>
          <w:lang w:val="fr-FR"/>
        </w:rPr>
      </w:pPr>
    </w:p>
    <w:p w14:paraId="134967DB" w14:textId="4CA48F1A" w:rsidR="00DE0481" w:rsidRPr="00DE0481" w:rsidRDefault="00DE0481" w:rsidP="00DE0481">
      <w:pPr>
        <w:spacing w:after="0" w:line="276" w:lineRule="auto"/>
        <w:ind w:right="58"/>
        <w:rPr>
          <w:lang w:val="fr-FR"/>
        </w:rPr>
      </w:pPr>
      <w:r w:rsidRPr="00DE0481">
        <w:rPr>
          <w:lang w:val="fr-FR"/>
        </w:rPr>
        <w:t xml:space="preserve">En conséquence, une </w:t>
      </w:r>
      <w:r>
        <w:rPr>
          <w:lang w:val="fr-FR"/>
        </w:rPr>
        <w:t>situation</w:t>
      </w:r>
      <w:r w:rsidRPr="00DE0481">
        <w:rPr>
          <w:lang w:val="fr-FR"/>
        </w:rPr>
        <w:t xml:space="preserve"> trimestrielle de la trésorerie de la Société sera </w:t>
      </w:r>
      <w:r>
        <w:rPr>
          <w:lang w:val="fr-FR"/>
        </w:rPr>
        <w:t>communiquée</w:t>
      </w:r>
      <w:r w:rsidRPr="00DE0481">
        <w:rPr>
          <w:lang w:val="fr-FR"/>
        </w:rPr>
        <w:t xml:space="preserve"> le 3 août 2023.</w:t>
      </w:r>
    </w:p>
    <w:p w14:paraId="0221E83F" w14:textId="77777777" w:rsidR="00DE0481" w:rsidRPr="00DE0481" w:rsidRDefault="00DE0481" w:rsidP="00DE0481">
      <w:pPr>
        <w:spacing w:after="0" w:line="276" w:lineRule="auto"/>
        <w:ind w:right="58"/>
        <w:rPr>
          <w:lang w:val="fr-FR"/>
        </w:rPr>
      </w:pPr>
    </w:p>
    <w:p w14:paraId="35E9AFCA" w14:textId="69D76864" w:rsidR="00DE0481" w:rsidRDefault="00DE0481" w:rsidP="00DE0481">
      <w:pPr>
        <w:spacing w:after="0" w:line="276" w:lineRule="auto"/>
        <w:ind w:right="58"/>
        <w:rPr>
          <w:lang w:val="fr-FR"/>
        </w:rPr>
      </w:pPr>
      <w:r w:rsidRPr="00DE0481">
        <w:rPr>
          <w:lang w:val="fr-FR"/>
        </w:rPr>
        <w:t>Le reste du calendrier financier annoncé précédemment reste inchangé.</w:t>
      </w:r>
    </w:p>
    <w:p w14:paraId="49961D73" w14:textId="77777777" w:rsidR="00DE0481" w:rsidRPr="00F87D6A" w:rsidRDefault="00DE0481" w:rsidP="00DE0481">
      <w:pPr>
        <w:spacing w:after="0" w:line="276" w:lineRule="auto"/>
        <w:ind w:right="58"/>
        <w:rPr>
          <w:lang w:val="fr-FR"/>
        </w:rPr>
      </w:pPr>
    </w:p>
    <w:p w14:paraId="299515F8" w14:textId="77777777" w:rsidR="009B5DEE" w:rsidRPr="008363D9" w:rsidRDefault="009B5DEE" w:rsidP="009B5DEE">
      <w:pPr>
        <w:spacing w:after="160" w:line="259" w:lineRule="auto"/>
        <w:ind w:left="0" w:right="0" w:firstLine="0"/>
        <w:rPr>
          <w:b/>
          <w:szCs w:val="20"/>
          <w:lang w:val="fr-FR"/>
        </w:rPr>
      </w:pPr>
    </w:p>
    <w:p w14:paraId="577886F6" w14:textId="77777777" w:rsidR="009B5DEE" w:rsidRPr="006C276E" w:rsidRDefault="009B5DEE" w:rsidP="009B5DEE">
      <w:pPr>
        <w:spacing w:after="160" w:line="259" w:lineRule="auto"/>
        <w:ind w:left="0" w:right="0" w:firstLine="0"/>
        <w:jc w:val="left"/>
        <w:rPr>
          <w:b/>
          <w:szCs w:val="20"/>
          <w:lang w:val="fr-FR"/>
        </w:rPr>
      </w:pPr>
      <w:r w:rsidRPr="006C276E">
        <w:rPr>
          <w:b/>
          <w:szCs w:val="20"/>
          <w:lang w:val="fr-FR"/>
        </w:rPr>
        <w:t>Contacts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9"/>
        <w:gridCol w:w="4630"/>
      </w:tblGrid>
      <w:tr w:rsidR="009B5DEE" w:rsidRPr="00DA5DB3" w14:paraId="6B3E1F90" w14:textId="77777777" w:rsidTr="00996633">
        <w:tc>
          <w:tcPr>
            <w:tcW w:w="4629" w:type="dxa"/>
          </w:tcPr>
          <w:p w14:paraId="45DE6A3A" w14:textId="77777777" w:rsidR="009B5DEE" w:rsidRPr="008363D9" w:rsidRDefault="009B5DEE" w:rsidP="00996633">
            <w:pPr>
              <w:spacing w:after="0" w:line="264" w:lineRule="auto"/>
              <w:ind w:left="11" w:hanging="11"/>
              <w:rPr>
                <w:b/>
                <w:color w:val="009DA2"/>
                <w:sz w:val="18"/>
                <w:szCs w:val="18"/>
              </w:rPr>
            </w:pPr>
            <w:r w:rsidRPr="008363D9">
              <w:rPr>
                <w:b/>
                <w:color w:val="009DA2"/>
                <w:sz w:val="18"/>
                <w:szCs w:val="18"/>
              </w:rPr>
              <w:t>GenSight Biologics</w:t>
            </w:r>
          </w:p>
          <w:p w14:paraId="009E0B44" w14:textId="227C4596" w:rsidR="009B5DEE" w:rsidRPr="008363D9" w:rsidRDefault="008363D9" w:rsidP="00996633">
            <w:pPr>
              <w:spacing w:after="0" w:line="264" w:lineRule="auto"/>
              <w:ind w:left="11" w:hanging="11"/>
              <w:rPr>
                <w:rStyle w:val="lev"/>
                <w:b w:val="0"/>
                <w:bCs w:val="0"/>
                <w:sz w:val="18"/>
                <w:szCs w:val="18"/>
              </w:rPr>
            </w:pPr>
            <w:r w:rsidRPr="008363D9">
              <w:rPr>
                <w:rStyle w:val="lev"/>
                <w:b w:val="0"/>
                <w:bCs w:val="0"/>
                <w:sz w:val="18"/>
                <w:szCs w:val="18"/>
              </w:rPr>
              <w:t>Directeur Administratif et Financier</w:t>
            </w:r>
          </w:p>
          <w:p w14:paraId="4A22DB29" w14:textId="4D7FBD7F" w:rsidR="009B5DEE" w:rsidRPr="008363D9" w:rsidRDefault="008363D9" w:rsidP="00996633">
            <w:pPr>
              <w:spacing w:after="0" w:line="264" w:lineRule="auto"/>
              <w:ind w:left="11" w:hanging="11"/>
              <w:rPr>
                <w:rStyle w:val="lev"/>
                <w:b w:val="0"/>
                <w:bCs w:val="0"/>
                <w:sz w:val="18"/>
                <w:szCs w:val="18"/>
                <w:lang w:val="en-US"/>
              </w:rPr>
            </w:pPr>
            <w:r w:rsidRPr="008363D9">
              <w:rPr>
                <w:rStyle w:val="lev"/>
                <w:b w:val="0"/>
                <w:bCs w:val="0"/>
                <w:sz w:val="18"/>
                <w:szCs w:val="18"/>
                <w:lang w:val="en-US"/>
              </w:rPr>
              <w:t>Thomas Gidoin</w:t>
            </w:r>
          </w:p>
          <w:p w14:paraId="363E9B39" w14:textId="6C2CEB4A" w:rsidR="009B5DEE" w:rsidRPr="008363D9" w:rsidRDefault="00000000" w:rsidP="00996633">
            <w:pPr>
              <w:spacing w:after="0" w:line="264" w:lineRule="auto"/>
              <w:ind w:left="11" w:hanging="11"/>
              <w:rPr>
                <w:rStyle w:val="lev"/>
                <w:color w:val="auto"/>
                <w:sz w:val="18"/>
                <w:szCs w:val="18"/>
                <w:lang w:val="en-US" w:eastAsia="en-US"/>
              </w:rPr>
            </w:pPr>
            <w:hyperlink r:id="rId8" w:history="1">
              <w:r w:rsidR="008363D9" w:rsidRPr="00BB40C9">
                <w:rPr>
                  <w:rStyle w:val="Lienhypertexte"/>
                  <w:color w:val="auto"/>
                  <w:sz w:val="18"/>
                  <w:szCs w:val="18"/>
                  <w:lang w:val="en-US"/>
                </w:rPr>
                <w:t>tgidoin</w:t>
              </w:r>
              <w:r w:rsidR="008363D9" w:rsidRPr="008363D9">
                <w:rPr>
                  <w:rStyle w:val="Lienhypertexte"/>
                  <w:color w:val="auto"/>
                  <w:sz w:val="18"/>
                  <w:szCs w:val="18"/>
                  <w:lang w:val="en-US"/>
                </w:rPr>
                <w:t>@gensight-biologics.com</w:t>
              </w:r>
            </w:hyperlink>
            <w:r w:rsidR="009B5DEE" w:rsidRPr="008363D9">
              <w:rPr>
                <w:color w:val="auto"/>
                <w:sz w:val="18"/>
                <w:szCs w:val="18"/>
                <w:lang w:val="en-US"/>
              </w:rPr>
              <w:t xml:space="preserve"> </w:t>
            </w:r>
          </w:p>
          <w:p w14:paraId="1AD5AB28" w14:textId="77777777" w:rsidR="009B5DEE" w:rsidRPr="00561AA4" w:rsidRDefault="009B5DEE" w:rsidP="00996633">
            <w:pPr>
              <w:spacing w:after="80" w:line="240" w:lineRule="auto"/>
              <w:ind w:left="0" w:firstLine="0"/>
              <w:rPr>
                <w:b/>
                <w:szCs w:val="20"/>
                <w:lang w:val="en-US"/>
              </w:rPr>
            </w:pPr>
          </w:p>
        </w:tc>
        <w:tc>
          <w:tcPr>
            <w:tcW w:w="4630" w:type="dxa"/>
          </w:tcPr>
          <w:p w14:paraId="1334471E" w14:textId="77777777" w:rsidR="008363D9" w:rsidRPr="009D2C56" w:rsidRDefault="008363D9" w:rsidP="008363D9">
            <w:pPr>
              <w:spacing w:after="0" w:line="264" w:lineRule="auto"/>
              <w:ind w:left="11" w:hanging="11"/>
              <w:rPr>
                <w:b/>
                <w:color w:val="009DA2"/>
                <w:sz w:val="18"/>
                <w:szCs w:val="18"/>
              </w:rPr>
            </w:pPr>
            <w:proofErr w:type="spellStart"/>
            <w:r w:rsidRPr="009D2C56">
              <w:rPr>
                <w:b/>
                <w:color w:val="009DA2"/>
                <w:sz w:val="18"/>
                <w:szCs w:val="18"/>
              </w:rPr>
              <w:t>LifeSci</w:t>
            </w:r>
            <w:proofErr w:type="spellEnd"/>
            <w:r w:rsidRPr="009D2C56">
              <w:rPr>
                <w:b/>
                <w:color w:val="009DA2"/>
                <w:sz w:val="18"/>
                <w:szCs w:val="18"/>
              </w:rPr>
              <w:t xml:space="preserve"> </w:t>
            </w:r>
            <w:proofErr w:type="spellStart"/>
            <w:r w:rsidRPr="009D2C56">
              <w:rPr>
                <w:b/>
                <w:color w:val="009DA2"/>
                <w:sz w:val="18"/>
                <w:szCs w:val="18"/>
              </w:rPr>
              <w:t>Advisors</w:t>
            </w:r>
            <w:proofErr w:type="spellEnd"/>
          </w:p>
          <w:p w14:paraId="579915CD" w14:textId="77777777" w:rsidR="008363D9" w:rsidRPr="00637154" w:rsidRDefault="008363D9" w:rsidP="008363D9">
            <w:pPr>
              <w:spacing w:after="0" w:line="264" w:lineRule="auto"/>
              <w:ind w:left="11" w:hanging="11"/>
              <w:rPr>
                <w:rStyle w:val="lev"/>
                <w:b w:val="0"/>
                <w:bCs w:val="0"/>
                <w:sz w:val="18"/>
                <w:szCs w:val="18"/>
              </w:rPr>
            </w:pPr>
            <w:r w:rsidRPr="00637154">
              <w:rPr>
                <w:rStyle w:val="lev"/>
                <w:b w:val="0"/>
                <w:bCs w:val="0"/>
                <w:sz w:val="18"/>
                <w:szCs w:val="18"/>
              </w:rPr>
              <w:t>Relations avec les Investisseurs</w:t>
            </w:r>
          </w:p>
          <w:p w14:paraId="26E63363" w14:textId="77777777" w:rsidR="008363D9" w:rsidRPr="00637154" w:rsidRDefault="008363D9" w:rsidP="008363D9">
            <w:pPr>
              <w:spacing w:after="0" w:line="264" w:lineRule="auto"/>
              <w:ind w:left="11" w:hanging="11"/>
              <w:rPr>
                <w:rStyle w:val="lev"/>
                <w:b w:val="0"/>
                <w:bCs w:val="0"/>
                <w:sz w:val="18"/>
                <w:szCs w:val="18"/>
                <w:lang w:val="it-IT"/>
              </w:rPr>
            </w:pPr>
            <w:r w:rsidRPr="00637154">
              <w:rPr>
                <w:rStyle w:val="lev"/>
                <w:b w:val="0"/>
                <w:bCs w:val="0"/>
                <w:sz w:val="18"/>
                <w:szCs w:val="18"/>
                <w:lang w:val="it-IT"/>
              </w:rPr>
              <w:t>Guillaume van Renterghem</w:t>
            </w:r>
          </w:p>
          <w:p w14:paraId="684E359A" w14:textId="77777777" w:rsidR="008363D9" w:rsidRPr="00B006C3" w:rsidRDefault="00000000" w:rsidP="008363D9">
            <w:pPr>
              <w:spacing w:after="0" w:line="276" w:lineRule="auto"/>
              <w:ind w:left="11" w:hanging="11"/>
              <w:rPr>
                <w:rStyle w:val="Lienhypertexte"/>
                <w:color w:val="auto"/>
                <w:sz w:val="18"/>
                <w:szCs w:val="18"/>
                <w:lang w:eastAsia="en-US"/>
              </w:rPr>
            </w:pPr>
            <w:hyperlink r:id="rId9" w:history="1">
              <w:r w:rsidR="008363D9" w:rsidRPr="00942F1E">
                <w:rPr>
                  <w:rStyle w:val="Lienhypertexte"/>
                  <w:color w:val="auto"/>
                  <w:sz w:val="18"/>
                  <w:szCs w:val="18"/>
                </w:rPr>
                <w:t>gvanrenterghem@lifesciadvisors.com</w:t>
              </w:r>
            </w:hyperlink>
          </w:p>
          <w:p w14:paraId="0D78B82C" w14:textId="1B6B5094" w:rsidR="009B5DEE" w:rsidRPr="00994DDC" w:rsidRDefault="008363D9" w:rsidP="008363D9">
            <w:pPr>
              <w:spacing w:after="80" w:line="240" w:lineRule="auto"/>
              <w:ind w:left="0" w:firstLine="0"/>
              <w:rPr>
                <w:b/>
                <w:szCs w:val="20"/>
                <w:lang w:val="en-US"/>
              </w:rPr>
            </w:pPr>
            <w:r w:rsidRPr="00080BDB">
              <w:rPr>
                <w:sz w:val="18"/>
                <w:szCs w:val="18"/>
                <w:lang w:val="en-US"/>
              </w:rPr>
              <w:t>+41 (0)76 735 01 31</w:t>
            </w:r>
          </w:p>
        </w:tc>
      </w:tr>
    </w:tbl>
    <w:p w14:paraId="07DAE9D1" w14:textId="77777777" w:rsidR="009B5DEE" w:rsidRDefault="009B5DEE" w:rsidP="008363D9">
      <w:pPr>
        <w:spacing w:after="60" w:line="276" w:lineRule="auto"/>
        <w:ind w:left="0" w:firstLine="0"/>
        <w:rPr>
          <w:b/>
          <w:color w:val="009DA2"/>
          <w:sz w:val="18"/>
          <w:szCs w:val="18"/>
          <w:lang w:val="fr-FR"/>
        </w:rPr>
      </w:pPr>
    </w:p>
    <w:p w14:paraId="358B2FD5" w14:textId="77777777" w:rsidR="002A6994" w:rsidRDefault="002A6994" w:rsidP="008363D9">
      <w:pPr>
        <w:spacing w:after="60" w:line="276" w:lineRule="auto"/>
        <w:rPr>
          <w:b/>
          <w:color w:val="009DA2"/>
          <w:sz w:val="18"/>
          <w:szCs w:val="18"/>
          <w:lang w:val="fr-FR"/>
        </w:rPr>
      </w:pPr>
    </w:p>
    <w:p w14:paraId="7C6C4FB2" w14:textId="77777777" w:rsidR="002A6994" w:rsidRDefault="002A6994" w:rsidP="008363D9">
      <w:pPr>
        <w:spacing w:after="60" w:line="276" w:lineRule="auto"/>
        <w:rPr>
          <w:b/>
          <w:color w:val="009DA2"/>
          <w:sz w:val="18"/>
          <w:szCs w:val="18"/>
          <w:lang w:val="fr-FR"/>
        </w:rPr>
      </w:pPr>
    </w:p>
    <w:p w14:paraId="25C247FC" w14:textId="37B6D73F" w:rsidR="008363D9" w:rsidRPr="008F392A" w:rsidRDefault="008363D9" w:rsidP="008363D9">
      <w:pPr>
        <w:spacing w:after="60" w:line="276" w:lineRule="auto"/>
        <w:rPr>
          <w:b/>
          <w:color w:val="009DA2"/>
          <w:sz w:val="18"/>
          <w:szCs w:val="18"/>
          <w:lang w:val="fr-FR"/>
        </w:rPr>
      </w:pPr>
      <w:r w:rsidRPr="008F392A">
        <w:rPr>
          <w:b/>
          <w:color w:val="009DA2"/>
          <w:sz w:val="18"/>
          <w:szCs w:val="18"/>
          <w:lang w:val="fr-FR"/>
        </w:rPr>
        <w:lastRenderedPageBreak/>
        <w:t>À propos de GenSight Biologics</w:t>
      </w:r>
    </w:p>
    <w:p w14:paraId="179E28EF" w14:textId="1B7DA389" w:rsidR="009B5DEE" w:rsidRPr="008363D9" w:rsidRDefault="008363D9" w:rsidP="00DE0481">
      <w:pPr>
        <w:spacing w:after="60" w:line="276" w:lineRule="auto"/>
        <w:rPr>
          <w:sz w:val="18"/>
          <w:lang w:val="fr-FR"/>
        </w:rPr>
      </w:pPr>
      <w:r w:rsidRPr="008F392A">
        <w:rPr>
          <w:sz w:val="18"/>
          <w:lang w:val="fr-FR"/>
        </w:rPr>
        <w:t xml:space="preserve">GenSight Biologics S.A. (GenSight Biologics) est une société biopharmaceutique dédiée au développement </w:t>
      </w:r>
      <w:r>
        <w:rPr>
          <w:sz w:val="18"/>
          <w:lang w:val="fr-FR"/>
        </w:rPr>
        <w:t xml:space="preserve">et à la commercialisation </w:t>
      </w:r>
      <w:r w:rsidRPr="008F392A">
        <w:rPr>
          <w:sz w:val="18"/>
          <w:lang w:val="fr-FR"/>
        </w:rPr>
        <w:t>de thérapies géniques innovantes pour le traitement des maladies neurodégénératives de la rétine et du système nerveux central. Le portefeuille de recherche de GenSight Biologics s’appuie sur deux plates-formes technologiques : le ciblage mitochondrial (</w:t>
      </w:r>
      <w:r w:rsidRPr="008F392A">
        <w:rPr>
          <w:i/>
          <w:sz w:val="18"/>
          <w:lang w:val="fr-FR"/>
        </w:rPr>
        <w:t xml:space="preserve">Mitochondrial </w:t>
      </w:r>
      <w:proofErr w:type="spellStart"/>
      <w:r w:rsidRPr="008F392A">
        <w:rPr>
          <w:i/>
          <w:sz w:val="18"/>
          <w:lang w:val="fr-FR"/>
        </w:rPr>
        <w:t>Targeting</w:t>
      </w:r>
      <w:proofErr w:type="spellEnd"/>
      <w:r w:rsidRPr="008F392A">
        <w:rPr>
          <w:i/>
          <w:sz w:val="18"/>
          <w:lang w:val="fr-FR"/>
        </w:rPr>
        <w:t xml:space="preserve"> </w:t>
      </w:r>
      <w:proofErr w:type="spellStart"/>
      <w:r w:rsidRPr="008F392A">
        <w:rPr>
          <w:i/>
          <w:sz w:val="18"/>
          <w:lang w:val="fr-FR"/>
        </w:rPr>
        <w:t>Sequence</w:t>
      </w:r>
      <w:proofErr w:type="spellEnd"/>
      <w:r w:rsidRPr="008F392A">
        <w:rPr>
          <w:sz w:val="18"/>
          <w:lang w:val="fr-FR"/>
        </w:rPr>
        <w:t>, ou MTS) et l’optogénétique, visant à préserver ou restaurer la vision chez les patients atteints de maladies neurodégénératives de la rétine. En utilisant son approche de thérapie génique, les candidats médicaments de GenSight Biologics sont destinés à offrir aux patients une récupération visuelle fonctionnelle durable après une seule injection intravitréenne dans chaque œil.</w:t>
      </w:r>
      <w:r>
        <w:rPr>
          <w:sz w:val="18"/>
          <w:lang w:val="fr-FR"/>
        </w:rPr>
        <w:t xml:space="preserve"> </w:t>
      </w:r>
      <w:r w:rsidRPr="00AE2F1D">
        <w:rPr>
          <w:sz w:val="18"/>
          <w:lang w:val="fr-FR"/>
        </w:rPr>
        <w:t xml:space="preserve">Développé </w:t>
      </w:r>
      <w:r>
        <w:rPr>
          <w:sz w:val="18"/>
          <w:lang w:val="fr-FR"/>
        </w:rPr>
        <w:t>dans le</w:t>
      </w:r>
      <w:r w:rsidRPr="00AE2F1D">
        <w:rPr>
          <w:sz w:val="18"/>
          <w:lang w:val="fr-FR"/>
        </w:rPr>
        <w:t xml:space="preserve"> traitement de la neuropathie optique héréditaire de Leber (</w:t>
      </w:r>
      <w:r>
        <w:rPr>
          <w:sz w:val="18"/>
          <w:lang w:val="fr-FR"/>
        </w:rPr>
        <w:t>NOHL</w:t>
      </w:r>
      <w:r w:rsidRPr="00AE2F1D">
        <w:rPr>
          <w:sz w:val="18"/>
          <w:lang w:val="fr-FR"/>
        </w:rPr>
        <w:t>), le principal produit candidat de GenSight Biologics, LUMEVOQ</w:t>
      </w:r>
      <w:r w:rsidRPr="00482DD0">
        <w:rPr>
          <w:sz w:val="18"/>
          <w:vertAlign w:val="superscript"/>
          <w:lang w:val="fr-FR"/>
        </w:rPr>
        <w:t>®</w:t>
      </w:r>
      <w:r w:rsidRPr="00AE2F1D">
        <w:rPr>
          <w:sz w:val="18"/>
          <w:lang w:val="fr-FR"/>
        </w:rPr>
        <w:t xml:space="preserve"> (GS010</w:t>
      </w:r>
      <w:r>
        <w:rPr>
          <w:sz w:val="18"/>
          <w:lang w:val="fr-FR"/>
        </w:rPr>
        <w:t xml:space="preserve"> </w:t>
      </w:r>
      <w:r w:rsidRPr="00AE2F1D">
        <w:rPr>
          <w:sz w:val="18"/>
          <w:lang w:val="fr-FR"/>
        </w:rPr>
        <w:t xml:space="preserve">; </w:t>
      </w:r>
      <w:proofErr w:type="spellStart"/>
      <w:r w:rsidRPr="00AE2F1D">
        <w:rPr>
          <w:sz w:val="18"/>
          <w:lang w:val="fr-FR"/>
        </w:rPr>
        <w:t>lenadogene</w:t>
      </w:r>
      <w:proofErr w:type="spellEnd"/>
      <w:r w:rsidRPr="00AE2F1D">
        <w:rPr>
          <w:sz w:val="18"/>
          <w:lang w:val="fr-FR"/>
        </w:rPr>
        <w:t xml:space="preserve"> </w:t>
      </w:r>
      <w:proofErr w:type="spellStart"/>
      <w:r w:rsidRPr="00AE2F1D">
        <w:rPr>
          <w:sz w:val="18"/>
          <w:lang w:val="fr-FR"/>
        </w:rPr>
        <w:t>nolparvovec</w:t>
      </w:r>
      <w:proofErr w:type="spellEnd"/>
      <w:r w:rsidRPr="00AE2F1D">
        <w:rPr>
          <w:sz w:val="18"/>
          <w:lang w:val="fr-FR"/>
        </w:rPr>
        <w:t xml:space="preserve">), est en phase III </w:t>
      </w:r>
      <w:r>
        <w:rPr>
          <w:sz w:val="18"/>
          <w:lang w:val="fr-FR"/>
        </w:rPr>
        <w:t>préalablement</w:t>
      </w:r>
      <w:r w:rsidRPr="00AE2F1D">
        <w:rPr>
          <w:sz w:val="18"/>
          <w:lang w:val="fr-FR"/>
        </w:rPr>
        <w:t xml:space="preserve"> au dépôt de la demande d’autorisation de mise sur le marché </w:t>
      </w:r>
      <w:r>
        <w:rPr>
          <w:sz w:val="18"/>
          <w:lang w:val="fr-FR"/>
        </w:rPr>
        <w:t xml:space="preserve">en Europe et </w:t>
      </w:r>
      <w:r w:rsidRPr="00AE2F1D">
        <w:rPr>
          <w:sz w:val="18"/>
          <w:lang w:val="fr-FR"/>
        </w:rPr>
        <w:t>aux Etats-Unis (</w:t>
      </w:r>
      <w:r w:rsidRPr="00482DD0">
        <w:rPr>
          <w:i/>
          <w:iCs/>
          <w:sz w:val="18"/>
          <w:lang w:val="fr-FR"/>
        </w:rPr>
        <w:t>Biologics License Application</w:t>
      </w:r>
      <w:r w:rsidRPr="00AE2F1D">
        <w:rPr>
          <w:sz w:val="18"/>
          <w:lang w:val="fr-FR"/>
        </w:rPr>
        <w:t xml:space="preserve"> [BLA]</w:t>
      </w:r>
      <w:r>
        <w:rPr>
          <w:sz w:val="18"/>
          <w:lang w:val="fr-FR"/>
        </w:rPr>
        <w:t xml:space="preserve">). </w:t>
      </w:r>
      <w:r w:rsidRPr="00AE2F1D">
        <w:rPr>
          <w:sz w:val="18"/>
          <w:lang w:val="fr-FR"/>
        </w:rPr>
        <w:t>LUMEVOQ</w:t>
      </w:r>
      <w:r w:rsidRPr="00482DD0">
        <w:rPr>
          <w:sz w:val="18"/>
          <w:vertAlign w:val="superscript"/>
          <w:lang w:val="fr-FR"/>
        </w:rPr>
        <w:t>®</w:t>
      </w:r>
      <w:r w:rsidRPr="00AE2F1D">
        <w:rPr>
          <w:sz w:val="18"/>
          <w:lang w:val="fr-FR"/>
        </w:rPr>
        <w:t xml:space="preserve"> (GS010</w:t>
      </w:r>
      <w:r>
        <w:rPr>
          <w:sz w:val="18"/>
          <w:lang w:val="fr-FR"/>
        </w:rPr>
        <w:t xml:space="preserve"> </w:t>
      </w:r>
      <w:r w:rsidRPr="00AE2F1D">
        <w:rPr>
          <w:sz w:val="18"/>
          <w:lang w:val="fr-FR"/>
        </w:rPr>
        <w:t xml:space="preserve">; </w:t>
      </w:r>
      <w:proofErr w:type="spellStart"/>
      <w:r w:rsidRPr="00AE2F1D">
        <w:rPr>
          <w:sz w:val="18"/>
          <w:lang w:val="fr-FR"/>
        </w:rPr>
        <w:t>lenadogene</w:t>
      </w:r>
      <w:proofErr w:type="spellEnd"/>
      <w:r w:rsidRPr="00AE2F1D">
        <w:rPr>
          <w:sz w:val="18"/>
          <w:lang w:val="fr-FR"/>
        </w:rPr>
        <w:t xml:space="preserve"> </w:t>
      </w:r>
      <w:proofErr w:type="spellStart"/>
      <w:r w:rsidRPr="00AE2F1D">
        <w:rPr>
          <w:sz w:val="18"/>
          <w:lang w:val="fr-FR"/>
        </w:rPr>
        <w:t>nolparvovec</w:t>
      </w:r>
      <w:proofErr w:type="spellEnd"/>
      <w:r w:rsidRPr="00AE2F1D">
        <w:rPr>
          <w:sz w:val="18"/>
          <w:lang w:val="fr-FR"/>
        </w:rPr>
        <w:t xml:space="preserve">), </w:t>
      </w:r>
      <w:r>
        <w:rPr>
          <w:sz w:val="18"/>
          <w:lang w:val="fr-FR"/>
        </w:rPr>
        <w:t>n</w:t>
      </w:r>
      <w:r w:rsidRPr="0068754E">
        <w:rPr>
          <w:sz w:val="18"/>
          <w:lang w:val="fr-FR"/>
        </w:rPr>
        <w:t>'a été enregistré dans aucun pays à ce stade</w:t>
      </w:r>
      <w:r>
        <w:rPr>
          <w:sz w:val="18"/>
          <w:lang w:val="fr-FR"/>
        </w:rPr>
        <w:t>.</w:t>
      </w:r>
    </w:p>
    <w:sectPr w:rsidR="009B5DEE" w:rsidRPr="008363D9" w:rsidSect="00EA151D">
      <w:headerReference w:type="even" r:id="rId10"/>
      <w:headerReference w:type="default" r:id="rId11"/>
      <w:footerReference w:type="even" r:id="rId12"/>
      <w:footerReference w:type="default" r:id="rId13"/>
      <w:headerReference w:type="first" r:id="rId14"/>
      <w:footerReference w:type="first" r:id="rId15"/>
      <w:pgSz w:w="11906" w:h="16838"/>
      <w:pgMar w:top="851" w:right="1361" w:bottom="573" w:left="1276" w:header="1418"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16614" w14:textId="77777777" w:rsidR="00627566" w:rsidRDefault="00627566" w:rsidP="00453B6F">
      <w:pPr>
        <w:spacing w:after="0" w:line="240" w:lineRule="auto"/>
      </w:pPr>
      <w:r>
        <w:rPr>
          <w:lang w:val="fr"/>
        </w:rPr>
        <w:separator/>
      </w:r>
    </w:p>
  </w:endnote>
  <w:endnote w:type="continuationSeparator" w:id="0">
    <w:p w14:paraId="1967E150" w14:textId="77777777" w:rsidR="00627566" w:rsidRDefault="00627566" w:rsidP="00453B6F">
      <w:pPr>
        <w:spacing w:after="0" w:line="240" w:lineRule="auto"/>
      </w:pPr>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C8088" w14:textId="77777777" w:rsidR="00265C41" w:rsidRDefault="00265C4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D7E6C" w14:textId="77777777" w:rsidR="005F7A62" w:rsidRPr="00165A12" w:rsidRDefault="005F7A62" w:rsidP="00165A12">
    <w:pPr>
      <w:pStyle w:val="Pieddepage"/>
    </w:pPr>
    <w:r w:rsidRPr="00165A12">
      <w:rPr>
        <w:lang w:val="fr"/>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CE8A5" w14:textId="77777777" w:rsidR="00265C41" w:rsidRDefault="00265C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69EF5" w14:textId="77777777" w:rsidR="00627566" w:rsidRDefault="00627566" w:rsidP="00453B6F">
      <w:pPr>
        <w:spacing w:after="0" w:line="240" w:lineRule="auto"/>
      </w:pPr>
      <w:r>
        <w:rPr>
          <w:lang w:val="fr"/>
        </w:rPr>
        <w:separator/>
      </w:r>
    </w:p>
  </w:footnote>
  <w:footnote w:type="continuationSeparator" w:id="0">
    <w:p w14:paraId="3073277D" w14:textId="77777777" w:rsidR="00627566" w:rsidRDefault="00627566" w:rsidP="00453B6F">
      <w:pPr>
        <w:spacing w:after="0" w:line="240" w:lineRule="auto"/>
      </w:pPr>
      <w:r>
        <w:rPr>
          <w:lang w:val="fr"/>
        </w:rPr>
        <w:continuationSeparator/>
      </w:r>
    </w:p>
  </w:footnote>
  <w:footnote w:id="1">
    <w:p w14:paraId="04E0A918" w14:textId="43E6F6BC" w:rsidR="007509E7" w:rsidRPr="002933F1" w:rsidRDefault="007509E7">
      <w:pPr>
        <w:pStyle w:val="Notedebasdepage"/>
        <w:rPr>
          <w:sz w:val="16"/>
          <w:szCs w:val="16"/>
          <w:lang w:val="fr-FR"/>
        </w:rPr>
      </w:pPr>
      <w:r w:rsidRPr="002933F1">
        <w:rPr>
          <w:rStyle w:val="Appelnotedebasdep"/>
        </w:rPr>
        <w:footnoteRef/>
      </w:r>
      <w:r w:rsidRPr="002933F1">
        <w:rPr>
          <w:lang w:val="fr-FR"/>
        </w:rPr>
        <w:t xml:space="preserve"> </w:t>
      </w:r>
      <w:r w:rsidR="002933F1" w:rsidRPr="002933F1">
        <w:rPr>
          <w:sz w:val="16"/>
          <w:szCs w:val="16"/>
          <w:lang w:val="fr-FR"/>
        </w:rPr>
        <w:t>Une campagne de validation (</w:t>
      </w:r>
      <w:r w:rsidR="002933F1" w:rsidRPr="002933F1">
        <w:rPr>
          <w:i/>
          <w:iCs/>
          <w:sz w:val="16"/>
          <w:szCs w:val="16"/>
          <w:lang w:val="fr-FR"/>
        </w:rPr>
        <w:t>Process Performance Qualification</w:t>
      </w:r>
      <w:r w:rsidR="002933F1" w:rsidRPr="002933F1">
        <w:rPr>
          <w:sz w:val="16"/>
          <w:szCs w:val="16"/>
          <w:lang w:val="fr-FR"/>
        </w:rPr>
        <w:t xml:space="preserve"> ou PPQ) consiste à fabriquer séquentiellement, et avec succès, un minimum de 3 lots GMP (</w:t>
      </w:r>
      <w:r w:rsidR="002933F1" w:rsidRPr="002933F1">
        <w:rPr>
          <w:i/>
          <w:iCs/>
          <w:sz w:val="16"/>
          <w:szCs w:val="16"/>
          <w:lang w:val="fr-FR"/>
        </w:rPr>
        <w:t xml:space="preserve">Good </w:t>
      </w:r>
      <w:proofErr w:type="spellStart"/>
      <w:r w:rsidR="002933F1" w:rsidRPr="002933F1">
        <w:rPr>
          <w:i/>
          <w:iCs/>
          <w:sz w:val="16"/>
          <w:szCs w:val="16"/>
          <w:lang w:val="fr-FR"/>
        </w:rPr>
        <w:t>Manufacturing</w:t>
      </w:r>
      <w:proofErr w:type="spellEnd"/>
      <w:r w:rsidR="002933F1" w:rsidRPr="002933F1">
        <w:rPr>
          <w:i/>
          <w:iCs/>
          <w:sz w:val="16"/>
          <w:szCs w:val="16"/>
          <w:lang w:val="fr-FR"/>
        </w:rPr>
        <w:t xml:space="preserve"> Practices</w:t>
      </w:r>
      <w:r w:rsidR="002933F1" w:rsidRPr="002933F1">
        <w:rPr>
          <w:sz w:val="16"/>
          <w:szCs w:val="16"/>
          <w:lang w:val="fr-FR"/>
        </w:rPr>
        <w:t>, ou Bonnes Pratiques de Fabrication, standards requis pour un usage humain) afin de démontrer et documenter la robustesse, le contrôle, la cohérence et la reproductibilité du procédé de fabrication commercial au sein du site de production commerciale retenu. Cet exercice est requis dans le cadre d'une demande d'autorisation de mise sur le marché auprès de l'EMA et de la FDA.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B3267" w14:textId="77777777" w:rsidR="00265C41" w:rsidRDefault="00265C4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683E4" w14:textId="77777777" w:rsidR="00FD1E22" w:rsidRDefault="00FD1E22">
    <w:pPr>
      <w:pStyle w:val="En-tte"/>
    </w:pPr>
    <w:r>
      <w:rPr>
        <w:noProof/>
        <w:lang w:val="fr"/>
      </w:rPr>
      <w:drawing>
        <wp:anchor distT="0" distB="0" distL="114300" distR="114300" simplePos="0" relativeHeight="251659264" behindDoc="0" locked="0" layoutInCell="1" allowOverlap="1" wp14:anchorId="11C2D3E9" wp14:editId="7A485C7F">
          <wp:simplePos x="0" y="0"/>
          <wp:positionH relativeFrom="column">
            <wp:posOffset>-289560</wp:posOffset>
          </wp:positionH>
          <wp:positionV relativeFrom="page">
            <wp:posOffset>191135</wp:posOffset>
          </wp:positionV>
          <wp:extent cx="1752600" cy="744855"/>
          <wp:effectExtent l="0" t="0" r="0" b="0"/>
          <wp:wrapSquare wrapText="bothSides"/>
          <wp:docPr id="1515516281" name="Image 1515516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SIGHT_logo_RVB.jpg"/>
                  <pic:cNvPicPr/>
                </pic:nvPicPr>
                <pic:blipFill>
                  <a:blip r:embed="rId1">
                    <a:extLst>
                      <a:ext uri="{28A0092B-C50C-407E-A947-70E740481C1C}">
                        <a14:useLocalDpi xmlns:a14="http://schemas.microsoft.com/office/drawing/2010/main" val="0"/>
                      </a:ext>
                    </a:extLst>
                  </a:blip>
                  <a:stretch>
                    <a:fillRect/>
                  </a:stretch>
                </pic:blipFill>
                <pic:spPr>
                  <a:xfrm>
                    <a:off x="0" y="0"/>
                    <a:ext cx="1752600" cy="74485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09604" w14:textId="77777777" w:rsidR="00265C41" w:rsidRDefault="00265C4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C1FFF"/>
    <w:multiLevelType w:val="hybridMultilevel"/>
    <w:tmpl w:val="BFFCD2EE"/>
    <w:lvl w:ilvl="0" w:tplc="040C0001">
      <w:start w:val="1"/>
      <w:numFmt w:val="bullet"/>
      <w:lvlText w:val=""/>
      <w:lvlJc w:val="left"/>
      <w:pPr>
        <w:ind w:left="788" w:hanging="360"/>
      </w:pPr>
      <w:rPr>
        <w:rFonts w:ascii="Symbol" w:hAnsi="Symbol" w:hint="default"/>
        <w:color w:val="009DA1"/>
      </w:rPr>
    </w:lvl>
    <w:lvl w:ilvl="1" w:tplc="FFFFFFFF" w:tentative="1">
      <w:start w:val="1"/>
      <w:numFmt w:val="bullet"/>
      <w:lvlText w:val="o"/>
      <w:lvlJc w:val="left"/>
      <w:pPr>
        <w:ind w:left="1508" w:hanging="360"/>
      </w:pPr>
      <w:rPr>
        <w:rFonts w:ascii="Courier New" w:hAnsi="Courier New" w:cs="Courier New" w:hint="default"/>
      </w:rPr>
    </w:lvl>
    <w:lvl w:ilvl="2" w:tplc="FFFFFFFF" w:tentative="1">
      <w:start w:val="1"/>
      <w:numFmt w:val="bullet"/>
      <w:lvlText w:val=""/>
      <w:lvlJc w:val="left"/>
      <w:pPr>
        <w:ind w:left="2228" w:hanging="360"/>
      </w:pPr>
      <w:rPr>
        <w:rFonts w:ascii="Wingdings" w:hAnsi="Wingdings" w:hint="default"/>
      </w:rPr>
    </w:lvl>
    <w:lvl w:ilvl="3" w:tplc="FFFFFFFF" w:tentative="1">
      <w:start w:val="1"/>
      <w:numFmt w:val="bullet"/>
      <w:lvlText w:val=""/>
      <w:lvlJc w:val="left"/>
      <w:pPr>
        <w:ind w:left="2948" w:hanging="360"/>
      </w:pPr>
      <w:rPr>
        <w:rFonts w:ascii="Symbol" w:hAnsi="Symbol" w:hint="default"/>
      </w:rPr>
    </w:lvl>
    <w:lvl w:ilvl="4" w:tplc="FFFFFFFF" w:tentative="1">
      <w:start w:val="1"/>
      <w:numFmt w:val="bullet"/>
      <w:lvlText w:val="o"/>
      <w:lvlJc w:val="left"/>
      <w:pPr>
        <w:ind w:left="3668" w:hanging="360"/>
      </w:pPr>
      <w:rPr>
        <w:rFonts w:ascii="Courier New" w:hAnsi="Courier New" w:cs="Courier New" w:hint="default"/>
      </w:rPr>
    </w:lvl>
    <w:lvl w:ilvl="5" w:tplc="FFFFFFFF" w:tentative="1">
      <w:start w:val="1"/>
      <w:numFmt w:val="bullet"/>
      <w:lvlText w:val=""/>
      <w:lvlJc w:val="left"/>
      <w:pPr>
        <w:ind w:left="4388" w:hanging="360"/>
      </w:pPr>
      <w:rPr>
        <w:rFonts w:ascii="Wingdings" w:hAnsi="Wingdings" w:hint="default"/>
      </w:rPr>
    </w:lvl>
    <w:lvl w:ilvl="6" w:tplc="FFFFFFFF" w:tentative="1">
      <w:start w:val="1"/>
      <w:numFmt w:val="bullet"/>
      <w:lvlText w:val=""/>
      <w:lvlJc w:val="left"/>
      <w:pPr>
        <w:ind w:left="5108" w:hanging="360"/>
      </w:pPr>
      <w:rPr>
        <w:rFonts w:ascii="Symbol" w:hAnsi="Symbol" w:hint="default"/>
      </w:rPr>
    </w:lvl>
    <w:lvl w:ilvl="7" w:tplc="FFFFFFFF" w:tentative="1">
      <w:start w:val="1"/>
      <w:numFmt w:val="bullet"/>
      <w:lvlText w:val="o"/>
      <w:lvlJc w:val="left"/>
      <w:pPr>
        <w:ind w:left="5828" w:hanging="360"/>
      </w:pPr>
      <w:rPr>
        <w:rFonts w:ascii="Courier New" w:hAnsi="Courier New" w:cs="Courier New" w:hint="default"/>
      </w:rPr>
    </w:lvl>
    <w:lvl w:ilvl="8" w:tplc="FFFFFFFF" w:tentative="1">
      <w:start w:val="1"/>
      <w:numFmt w:val="bullet"/>
      <w:lvlText w:val=""/>
      <w:lvlJc w:val="left"/>
      <w:pPr>
        <w:ind w:left="6548" w:hanging="360"/>
      </w:pPr>
      <w:rPr>
        <w:rFonts w:ascii="Wingdings" w:hAnsi="Wingdings" w:hint="default"/>
      </w:rPr>
    </w:lvl>
  </w:abstractNum>
  <w:abstractNum w:abstractNumId="1" w15:restartNumberingAfterBreak="0">
    <w:nsid w:val="0B2376ED"/>
    <w:multiLevelType w:val="hybridMultilevel"/>
    <w:tmpl w:val="E89C6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D30C5"/>
    <w:multiLevelType w:val="hybridMultilevel"/>
    <w:tmpl w:val="43462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63AA8"/>
    <w:multiLevelType w:val="hybridMultilevel"/>
    <w:tmpl w:val="0A7697E0"/>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EE208E"/>
    <w:multiLevelType w:val="hybridMultilevel"/>
    <w:tmpl w:val="1F8815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1A7CDC"/>
    <w:multiLevelType w:val="hybridMultilevel"/>
    <w:tmpl w:val="A7D41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265B40"/>
    <w:multiLevelType w:val="hybridMultilevel"/>
    <w:tmpl w:val="BEF077A0"/>
    <w:lvl w:ilvl="0" w:tplc="CE4E44A2">
      <w:start w:val="1"/>
      <w:numFmt w:val="bullet"/>
      <w:lvlText w:val=""/>
      <w:lvlJc w:val="left"/>
      <w:pPr>
        <w:ind w:left="720" w:hanging="360"/>
      </w:pPr>
      <w:rPr>
        <w:rFonts w:ascii="Wingdings" w:hAnsi="Wingdings" w:hint="default"/>
        <w:color w:val="009DA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E746F0"/>
    <w:multiLevelType w:val="hybridMultilevel"/>
    <w:tmpl w:val="2CB81C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AC4871"/>
    <w:multiLevelType w:val="hybridMultilevel"/>
    <w:tmpl w:val="C52264A4"/>
    <w:lvl w:ilvl="0" w:tplc="6F989D2E">
      <w:start w:val="1"/>
      <w:numFmt w:val="bullet"/>
      <w:lvlText w:val="•"/>
      <w:lvlJc w:val="left"/>
      <w:pPr>
        <w:tabs>
          <w:tab w:val="num" w:pos="720"/>
        </w:tabs>
        <w:ind w:left="720" w:hanging="360"/>
      </w:pPr>
      <w:rPr>
        <w:rFonts w:ascii="Arial" w:hAnsi="Arial" w:hint="default"/>
      </w:rPr>
    </w:lvl>
    <w:lvl w:ilvl="1" w:tplc="92E292FC" w:tentative="1">
      <w:start w:val="1"/>
      <w:numFmt w:val="bullet"/>
      <w:lvlText w:val="•"/>
      <w:lvlJc w:val="left"/>
      <w:pPr>
        <w:tabs>
          <w:tab w:val="num" w:pos="1440"/>
        </w:tabs>
        <w:ind w:left="1440" w:hanging="360"/>
      </w:pPr>
      <w:rPr>
        <w:rFonts w:ascii="Arial" w:hAnsi="Arial" w:hint="default"/>
      </w:rPr>
    </w:lvl>
    <w:lvl w:ilvl="2" w:tplc="4792015C" w:tentative="1">
      <w:start w:val="1"/>
      <w:numFmt w:val="bullet"/>
      <w:lvlText w:val="•"/>
      <w:lvlJc w:val="left"/>
      <w:pPr>
        <w:tabs>
          <w:tab w:val="num" w:pos="2160"/>
        </w:tabs>
        <w:ind w:left="2160" w:hanging="360"/>
      </w:pPr>
      <w:rPr>
        <w:rFonts w:ascii="Arial" w:hAnsi="Arial" w:hint="default"/>
      </w:rPr>
    </w:lvl>
    <w:lvl w:ilvl="3" w:tplc="6E567994" w:tentative="1">
      <w:start w:val="1"/>
      <w:numFmt w:val="bullet"/>
      <w:lvlText w:val="•"/>
      <w:lvlJc w:val="left"/>
      <w:pPr>
        <w:tabs>
          <w:tab w:val="num" w:pos="2880"/>
        </w:tabs>
        <w:ind w:left="2880" w:hanging="360"/>
      </w:pPr>
      <w:rPr>
        <w:rFonts w:ascii="Arial" w:hAnsi="Arial" w:hint="default"/>
      </w:rPr>
    </w:lvl>
    <w:lvl w:ilvl="4" w:tplc="98708E7E" w:tentative="1">
      <w:start w:val="1"/>
      <w:numFmt w:val="bullet"/>
      <w:lvlText w:val="•"/>
      <w:lvlJc w:val="left"/>
      <w:pPr>
        <w:tabs>
          <w:tab w:val="num" w:pos="3600"/>
        </w:tabs>
        <w:ind w:left="3600" w:hanging="360"/>
      </w:pPr>
      <w:rPr>
        <w:rFonts w:ascii="Arial" w:hAnsi="Arial" w:hint="default"/>
      </w:rPr>
    </w:lvl>
    <w:lvl w:ilvl="5" w:tplc="E4CC0DAA" w:tentative="1">
      <w:start w:val="1"/>
      <w:numFmt w:val="bullet"/>
      <w:lvlText w:val="•"/>
      <w:lvlJc w:val="left"/>
      <w:pPr>
        <w:tabs>
          <w:tab w:val="num" w:pos="4320"/>
        </w:tabs>
        <w:ind w:left="4320" w:hanging="360"/>
      </w:pPr>
      <w:rPr>
        <w:rFonts w:ascii="Arial" w:hAnsi="Arial" w:hint="default"/>
      </w:rPr>
    </w:lvl>
    <w:lvl w:ilvl="6" w:tplc="9418C1B6" w:tentative="1">
      <w:start w:val="1"/>
      <w:numFmt w:val="bullet"/>
      <w:lvlText w:val="•"/>
      <w:lvlJc w:val="left"/>
      <w:pPr>
        <w:tabs>
          <w:tab w:val="num" w:pos="5040"/>
        </w:tabs>
        <w:ind w:left="5040" w:hanging="360"/>
      </w:pPr>
      <w:rPr>
        <w:rFonts w:ascii="Arial" w:hAnsi="Arial" w:hint="default"/>
      </w:rPr>
    </w:lvl>
    <w:lvl w:ilvl="7" w:tplc="DE40D416" w:tentative="1">
      <w:start w:val="1"/>
      <w:numFmt w:val="bullet"/>
      <w:lvlText w:val="•"/>
      <w:lvlJc w:val="left"/>
      <w:pPr>
        <w:tabs>
          <w:tab w:val="num" w:pos="5760"/>
        </w:tabs>
        <w:ind w:left="5760" w:hanging="360"/>
      </w:pPr>
      <w:rPr>
        <w:rFonts w:ascii="Arial" w:hAnsi="Arial" w:hint="default"/>
      </w:rPr>
    </w:lvl>
    <w:lvl w:ilvl="8" w:tplc="E936649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8E96903"/>
    <w:multiLevelType w:val="hybridMultilevel"/>
    <w:tmpl w:val="ADF083DE"/>
    <w:lvl w:ilvl="0" w:tplc="6F989D2E">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C4317C"/>
    <w:multiLevelType w:val="hybridMultilevel"/>
    <w:tmpl w:val="26446188"/>
    <w:lvl w:ilvl="0" w:tplc="B428F3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562E68"/>
    <w:multiLevelType w:val="hybridMultilevel"/>
    <w:tmpl w:val="1E10BA66"/>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12" w15:restartNumberingAfterBreak="0">
    <w:nsid w:val="57454952"/>
    <w:multiLevelType w:val="hybridMultilevel"/>
    <w:tmpl w:val="3146B848"/>
    <w:lvl w:ilvl="0" w:tplc="0409000F">
      <w:start w:val="1"/>
      <w:numFmt w:val="decimal"/>
      <w:lvlText w:val="%1."/>
      <w:lvlJc w:val="left"/>
      <w:pPr>
        <w:ind w:left="139"/>
      </w:pPr>
      <w:rPr>
        <w:b w:val="0"/>
        <w:i w:val="0"/>
        <w:strike w:val="0"/>
        <w:dstrike w:val="0"/>
        <w:color w:val="000000"/>
        <w:sz w:val="20"/>
        <w:szCs w:val="20"/>
        <w:u w:val="none" w:color="000000"/>
        <w:bdr w:val="none" w:sz="0" w:space="0" w:color="auto"/>
        <w:shd w:val="clear" w:color="auto" w:fill="auto"/>
        <w:vertAlign w:val="superscript"/>
      </w:rPr>
    </w:lvl>
    <w:lvl w:ilvl="1" w:tplc="B666E9E8">
      <w:start w:val="1"/>
      <w:numFmt w:val="lowerLetter"/>
      <w:lvlText w:val="%2"/>
      <w:lvlJc w:val="left"/>
      <w:pPr>
        <w:ind w:left="1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FE9C3FF0">
      <w:start w:val="1"/>
      <w:numFmt w:val="lowerRoman"/>
      <w:lvlText w:val="%3"/>
      <w:lvlJc w:val="left"/>
      <w:pPr>
        <w:ind w:left="18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518E17AC">
      <w:start w:val="1"/>
      <w:numFmt w:val="decimal"/>
      <w:lvlText w:val="%4"/>
      <w:lvlJc w:val="left"/>
      <w:pPr>
        <w:ind w:left="25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886042E4">
      <w:start w:val="1"/>
      <w:numFmt w:val="lowerLetter"/>
      <w:lvlText w:val="%5"/>
      <w:lvlJc w:val="left"/>
      <w:pPr>
        <w:ind w:left="32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AAA86FB0">
      <w:start w:val="1"/>
      <w:numFmt w:val="lowerRoman"/>
      <w:lvlText w:val="%6"/>
      <w:lvlJc w:val="left"/>
      <w:pPr>
        <w:ind w:left="39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1B2CBE96">
      <w:start w:val="1"/>
      <w:numFmt w:val="decimal"/>
      <w:lvlText w:val="%7"/>
      <w:lvlJc w:val="left"/>
      <w:pPr>
        <w:ind w:left="46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21C87922">
      <w:start w:val="1"/>
      <w:numFmt w:val="lowerLetter"/>
      <w:lvlText w:val="%8"/>
      <w:lvlJc w:val="left"/>
      <w:pPr>
        <w:ind w:left="54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A0C6459C">
      <w:start w:val="1"/>
      <w:numFmt w:val="lowerRoman"/>
      <w:lvlText w:val="%9"/>
      <w:lvlJc w:val="left"/>
      <w:pPr>
        <w:ind w:left="61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13" w15:restartNumberingAfterBreak="0">
    <w:nsid w:val="585F0BE4"/>
    <w:multiLevelType w:val="hybridMultilevel"/>
    <w:tmpl w:val="B2CCD5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A751584"/>
    <w:multiLevelType w:val="hybridMultilevel"/>
    <w:tmpl w:val="35845D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BC00CE8"/>
    <w:multiLevelType w:val="hybridMultilevel"/>
    <w:tmpl w:val="A7166732"/>
    <w:lvl w:ilvl="0" w:tplc="CE4E44A2">
      <w:start w:val="1"/>
      <w:numFmt w:val="bullet"/>
      <w:lvlText w:val=""/>
      <w:lvlJc w:val="left"/>
      <w:pPr>
        <w:ind w:left="788" w:hanging="360"/>
      </w:pPr>
      <w:rPr>
        <w:rFonts w:ascii="Wingdings" w:hAnsi="Wingdings" w:hint="default"/>
        <w:color w:val="009DA1"/>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16" w15:restartNumberingAfterBreak="0">
    <w:nsid w:val="6BCB2B26"/>
    <w:multiLevelType w:val="hybridMultilevel"/>
    <w:tmpl w:val="18ACC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393476"/>
    <w:multiLevelType w:val="hybridMultilevel"/>
    <w:tmpl w:val="9E861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69256383">
    <w:abstractNumId w:val="12"/>
  </w:num>
  <w:num w:numId="2" w16cid:durableId="1314018216">
    <w:abstractNumId w:val="10"/>
  </w:num>
  <w:num w:numId="3" w16cid:durableId="1586652362">
    <w:abstractNumId w:val="6"/>
  </w:num>
  <w:num w:numId="4" w16cid:durableId="141505706">
    <w:abstractNumId w:val="4"/>
  </w:num>
  <w:num w:numId="5" w16cid:durableId="1442601952">
    <w:abstractNumId w:val="17"/>
  </w:num>
  <w:num w:numId="6" w16cid:durableId="619452431">
    <w:abstractNumId w:val="13"/>
  </w:num>
  <w:num w:numId="7" w16cid:durableId="1527257974">
    <w:abstractNumId w:val="14"/>
  </w:num>
  <w:num w:numId="8" w16cid:durableId="1367020123">
    <w:abstractNumId w:val="1"/>
  </w:num>
  <w:num w:numId="9" w16cid:durableId="2062626741">
    <w:abstractNumId w:val="16"/>
  </w:num>
  <w:num w:numId="10" w16cid:durableId="1484157337">
    <w:abstractNumId w:val="8"/>
  </w:num>
  <w:num w:numId="11" w16cid:durableId="2066103615">
    <w:abstractNumId w:val="9"/>
  </w:num>
  <w:num w:numId="12" w16cid:durableId="1652254050">
    <w:abstractNumId w:val="15"/>
  </w:num>
  <w:num w:numId="13" w16cid:durableId="1486819158">
    <w:abstractNumId w:val="7"/>
  </w:num>
  <w:num w:numId="14" w16cid:durableId="1540625788">
    <w:abstractNumId w:val="2"/>
  </w:num>
  <w:num w:numId="15" w16cid:durableId="704328668">
    <w:abstractNumId w:val="3"/>
  </w:num>
  <w:num w:numId="16" w16cid:durableId="112284479">
    <w:abstractNumId w:val="11"/>
  </w:num>
  <w:num w:numId="17" w16cid:durableId="1819572710">
    <w:abstractNumId w:val="5"/>
  </w:num>
  <w:num w:numId="18" w16cid:durableId="520552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NeedToUniquify" w:val="false"/>
    <w:docVar w:name="APWAFVersion" w:val="5.0"/>
  </w:docVars>
  <w:rsids>
    <w:rsidRoot w:val="00AA1CF6"/>
    <w:rsid w:val="0000104E"/>
    <w:rsid w:val="0000742D"/>
    <w:rsid w:val="000101C5"/>
    <w:rsid w:val="00010B38"/>
    <w:rsid w:val="00010FB7"/>
    <w:rsid w:val="0001525F"/>
    <w:rsid w:val="00020051"/>
    <w:rsid w:val="000218C0"/>
    <w:rsid w:val="00021A15"/>
    <w:rsid w:val="00025DD3"/>
    <w:rsid w:val="000271CB"/>
    <w:rsid w:val="0002776F"/>
    <w:rsid w:val="00027C27"/>
    <w:rsid w:val="00030B2E"/>
    <w:rsid w:val="000329D9"/>
    <w:rsid w:val="00032A68"/>
    <w:rsid w:val="00033AB6"/>
    <w:rsid w:val="000363AB"/>
    <w:rsid w:val="0003726B"/>
    <w:rsid w:val="000377EF"/>
    <w:rsid w:val="00041506"/>
    <w:rsid w:val="00050093"/>
    <w:rsid w:val="00050933"/>
    <w:rsid w:val="00051B58"/>
    <w:rsid w:val="0005352D"/>
    <w:rsid w:val="000573BE"/>
    <w:rsid w:val="00057A87"/>
    <w:rsid w:val="00063372"/>
    <w:rsid w:val="00066382"/>
    <w:rsid w:val="000723AE"/>
    <w:rsid w:val="0007639C"/>
    <w:rsid w:val="00081033"/>
    <w:rsid w:val="000816A0"/>
    <w:rsid w:val="00085352"/>
    <w:rsid w:val="00087263"/>
    <w:rsid w:val="00090AB4"/>
    <w:rsid w:val="00091EDB"/>
    <w:rsid w:val="00093935"/>
    <w:rsid w:val="000952B6"/>
    <w:rsid w:val="00096513"/>
    <w:rsid w:val="000A514D"/>
    <w:rsid w:val="000A61D1"/>
    <w:rsid w:val="000B0C99"/>
    <w:rsid w:val="000B1DE7"/>
    <w:rsid w:val="000C1D83"/>
    <w:rsid w:val="000C2AF7"/>
    <w:rsid w:val="000C39F3"/>
    <w:rsid w:val="000C5ECB"/>
    <w:rsid w:val="000C705E"/>
    <w:rsid w:val="000E10D7"/>
    <w:rsid w:val="000E1F9D"/>
    <w:rsid w:val="000E68A3"/>
    <w:rsid w:val="000F0613"/>
    <w:rsid w:val="00100336"/>
    <w:rsid w:val="001007BD"/>
    <w:rsid w:val="001009EA"/>
    <w:rsid w:val="00115CE2"/>
    <w:rsid w:val="00116282"/>
    <w:rsid w:val="001203E4"/>
    <w:rsid w:val="00120C1F"/>
    <w:rsid w:val="00120E85"/>
    <w:rsid w:val="00123236"/>
    <w:rsid w:val="00123950"/>
    <w:rsid w:val="001244AE"/>
    <w:rsid w:val="00135600"/>
    <w:rsid w:val="001403FA"/>
    <w:rsid w:val="00140B41"/>
    <w:rsid w:val="00141A0E"/>
    <w:rsid w:val="00142A1E"/>
    <w:rsid w:val="00146B4E"/>
    <w:rsid w:val="00153826"/>
    <w:rsid w:val="001539C1"/>
    <w:rsid w:val="001617BD"/>
    <w:rsid w:val="00165A12"/>
    <w:rsid w:val="00165B5C"/>
    <w:rsid w:val="00166E55"/>
    <w:rsid w:val="00171981"/>
    <w:rsid w:val="00171A12"/>
    <w:rsid w:val="00171B07"/>
    <w:rsid w:val="00171F35"/>
    <w:rsid w:val="001778A1"/>
    <w:rsid w:val="00181356"/>
    <w:rsid w:val="001818CE"/>
    <w:rsid w:val="00183D5F"/>
    <w:rsid w:val="00184FD1"/>
    <w:rsid w:val="00193F01"/>
    <w:rsid w:val="0019421D"/>
    <w:rsid w:val="001956A5"/>
    <w:rsid w:val="00196D45"/>
    <w:rsid w:val="00197393"/>
    <w:rsid w:val="001A164B"/>
    <w:rsid w:val="001A39D6"/>
    <w:rsid w:val="001A4F1B"/>
    <w:rsid w:val="001A61C8"/>
    <w:rsid w:val="001B090D"/>
    <w:rsid w:val="001B7373"/>
    <w:rsid w:val="001C1593"/>
    <w:rsid w:val="001C35F3"/>
    <w:rsid w:val="001D04A0"/>
    <w:rsid w:val="001D1F2E"/>
    <w:rsid w:val="001D3869"/>
    <w:rsid w:val="001D4E38"/>
    <w:rsid w:val="001D51B8"/>
    <w:rsid w:val="001D6447"/>
    <w:rsid w:val="001E10F0"/>
    <w:rsid w:val="001E146F"/>
    <w:rsid w:val="001E2C18"/>
    <w:rsid w:val="001E5B8A"/>
    <w:rsid w:val="001E73B5"/>
    <w:rsid w:val="001F0748"/>
    <w:rsid w:val="001F1E07"/>
    <w:rsid w:val="001F6AC4"/>
    <w:rsid w:val="002017A3"/>
    <w:rsid w:val="00203F7A"/>
    <w:rsid w:val="00205371"/>
    <w:rsid w:val="00206934"/>
    <w:rsid w:val="00207B27"/>
    <w:rsid w:val="002116D1"/>
    <w:rsid w:val="0021637B"/>
    <w:rsid w:val="002167ED"/>
    <w:rsid w:val="002219AF"/>
    <w:rsid w:val="00224621"/>
    <w:rsid w:val="00230646"/>
    <w:rsid w:val="002313B3"/>
    <w:rsid w:val="00231851"/>
    <w:rsid w:val="00232F6D"/>
    <w:rsid w:val="0023604E"/>
    <w:rsid w:val="00236BA5"/>
    <w:rsid w:val="0024284E"/>
    <w:rsid w:val="00242916"/>
    <w:rsid w:val="00243CEF"/>
    <w:rsid w:val="00245AFE"/>
    <w:rsid w:val="00251D7E"/>
    <w:rsid w:val="0025260C"/>
    <w:rsid w:val="00252D2D"/>
    <w:rsid w:val="0026140E"/>
    <w:rsid w:val="002651D0"/>
    <w:rsid w:val="00265C41"/>
    <w:rsid w:val="00274681"/>
    <w:rsid w:val="0028422F"/>
    <w:rsid w:val="0028453B"/>
    <w:rsid w:val="00284EBD"/>
    <w:rsid w:val="0029278C"/>
    <w:rsid w:val="002933F1"/>
    <w:rsid w:val="00295AC7"/>
    <w:rsid w:val="002975FC"/>
    <w:rsid w:val="002A2FB8"/>
    <w:rsid w:val="002A3A8F"/>
    <w:rsid w:val="002A3B90"/>
    <w:rsid w:val="002A5F0A"/>
    <w:rsid w:val="002A6994"/>
    <w:rsid w:val="002A69B4"/>
    <w:rsid w:val="002B24F7"/>
    <w:rsid w:val="002B2AA1"/>
    <w:rsid w:val="002B4681"/>
    <w:rsid w:val="002B56AC"/>
    <w:rsid w:val="002C0540"/>
    <w:rsid w:val="002C2084"/>
    <w:rsid w:val="002C461B"/>
    <w:rsid w:val="002C4EAD"/>
    <w:rsid w:val="002C4F25"/>
    <w:rsid w:val="002C648C"/>
    <w:rsid w:val="002D082D"/>
    <w:rsid w:val="002D26D5"/>
    <w:rsid w:val="002D7B6B"/>
    <w:rsid w:val="002F1B62"/>
    <w:rsid w:val="002F5906"/>
    <w:rsid w:val="002F5C9D"/>
    <w:rsid w:val="002F6BCF"/>
    <w:rsid w:val="002F73A5"/>
    <w:rsid w:val="0030268E"/>
    <w:rsid w:val="003044DF"/>
    <w:rsid w:val="003057D3"/>
    <w:rsid w:val="0030637E"/>
    <w:rsid w:val="00306502"/>
    <w:rsid w:val="00307A17"/>
    <w:rsid w:val="003129A5"/>
    <w:rsid w:val="0031446A"/>
    <w:rsid w:val="00317E72"/>
    <w:rsid w:val="00320DDA"/>
    <w:rsid w:val="00320E36"/>
    <w:rsid w:val="00321FFC"/>
    <w:rsid w:val="0032313B"/>
    <w:rsid w:val="00325481"/>
    <w:rsid w:val="0032552F"/>
    <w:rsid w:val="0032626B"/>
    <w:rsid w:val="00336FA2"/>
    <w:rsid w:val="00337E16"/>
    <w:rsid w:val="003453A9"/>
    <w:rsid w:val="00351371"/>
    <w:rsid w:val="00363C16"/>
    <w:rsid w:val="00363E88"/>
    <w:rsid w:val="003652CA"/>
    <w:rsid w:val="003671A5"/>
    <w:rsid w:val="00367E54"/>
    <w:rsid w:val="0037161E"/>
    <w:rsid w:val="003732F8"/>
    <w:rsid w:val="003738B3"/>
    <w:rsid w:val="00375298"/>
    <w:rsid w:val="00381578"/>
    <w:rsid w:val="003820B0"/>
    <w:rsid w:val="0038616C"/>
    <w:rsid w:val="00392969"/>
    <w:rsid w:val="0039540F"/>
    <w:rsid w:val="003958FD"/>
    <w:rsid w:val="0039762A"/>
    <w:rsid w:val="003A2E83"/>
    <w:rsid w:val="003A6932"/>
    <w:rsid w:val="003B286D"/>
    <w:rsid w:val="003B4BC4"/>
    <w:rsid w:val="003C106F"/>
    <w:rsid w:val="003C3EEB"/>
    <w:rsid w:val="003C48BD"/>
    <w:rsid w:val="003C64D4"/>
    <w:rsid w:val="003C785F"/>
    <w:rsid w:val="003C794A"/>
    <w:rsid w:val="003D0413"/>
    <w:rsid w:val="003D148F"/>
    <w:rsid w:val="003D1AAB"/>
    <w:rsid w:val="003F0358"/>
    <w:rsid w:val="003F3A1F"/>
    <w:rsid w:val="00403DA5"/>
    <w:rsid w:val="00406881"/>
    <w:rsid w:val="00406CF9"/>
    <w:rsid w:val="00411C71"/>
    <w:rsid w:val="0041259F"/>
    <w:rsid w:val="0041487A"/>
    <w:rsid w:val="004172B4"/>
    <w:rsid w:val="00430BDE"/>
    <w:rsid w:val="00433148"/>
    <w:rsid w:val="00434445"/>
    <w:rsid w:val="0043618C"/>
    <w:rsid w:val="00436854"/>
    <w:rsid w:val="00442829"/>
    <w:rsid w:val="004428BF"/>
    <w:rsid w:val="00444B43"/>
    <w:rsid w:val="004458FC"/>
    <w:rsid w:val="00446529"/>
    <w:rsid w:val="00447AA6"/>
    <w:rsid w:val="00451CE2"/>
    <w:rsid w:val="00453B6F"/>
    <w:rsid w:val="00455A63"/>
    <w:rsid w:val="00455C5C"/>
    <w:rsid w:val="00457EDC"/>
    <w:rsid w:val="004608E1"/>
    <w:rsid w:val="00460D96"/>
    <w:rsid w:val="00461910"/>
    <w:rsid w:val="0046412C"/>
    <w:rsid w:val="004666AF"/>
    <w:rsid w:val="00481989"/>
    <w:rsid w:val="00483C0E"/>
    <w:rsid w:val="004845B9"/>
    <w:rsid w:val="00486432"/>
    <w:rsid w:val="004879E6"/>
    <w:rsid w:val="00490440"/>
    <w:rsid w:val="004937E6"/>
    <w:rsid w:val="004A7411"/>
    <w:rsid w:val="004B00BF"/>
    <w:rsid w:val="004B0D45"/>
    <w:rsid w:val="004B1A6B"/>
    <w:rsid w:val="004B52A8"/>
    <w:rsid w:val="004B710C"/>
    <w:rsid w:val="004C0284"/>
    <w:rsid w:val="004C05BA"/>
    <w:rsid w:val="004C09E7"/>
    <w:rsid w:val="004C0C6A"/>
    <w:rsid w:val="004C224F"/>
    <w:rsid w:val="004C484C"/>
    <w:rsid w:val="004D070D"/>
    <w:rsid w:val="004D2840"/>
    <w:rsid w:val="004D2898"/>
    <w:rsid w:val="004D2DD5"/>
    <w:rsid w:val="004E0F9B"/>
    <w:rsid w:val="004E1000"/>
    <w:rsid w:val="004E1B39"/>
    <w:rsid w:val="004E243D"/>
    <w:rsid w:val="004E5875"/>
    <w:rsid w:val="004E5F94"/>
    <w:rsid w:val="004F6065"/>
    <w:rsid w:val="004F6917"/>
    <w:rsid w:val="004F7E43"/>
    <w:rsid w:val="005006AF"/>
    <w:rsid w:val="00501978"/>
    <w:rsid w:val="00506191"/>
    <w:rsid w:val="0050756A"/>
    <w:rsid w:val="0051001E"/>
    <w:rsid w:val="00512933"/>
    <w:rsid w:val="00512D9B"/>
    <w:rsid w:val="00513EF8"/>
    <w:rsid w:val="00514C7D"/>
    <w:rsid w:val="0051576A"/>
    <w:rsid w:val="0053000C"/>
    <w:rsid w:val="00535576"/>
    <w:rsid w:val="005366E3"/>
    <w:rsid w:val="00537D7C"/>
    <w:rsid w:val="00537F7F"/>
    <w:rsid w:val="005436EC"/>
    <w:rsid w:val="005509D9"/>
    <w:rsid w:val="0055105F"/>
    <w:rsid w:val="005543B4"/>
    <w:rsid w:val="00554D10"/>
    <w:rsid w:val="005576EA"/>
    <w:rsid w:val="005618E7"/>
    <w:rsid w:val="005648C4"/>
    <w:rsid w:val="005676D7"/>
    <w:rsid w:val="00567A3E"/>
    <w:rsid w:val="005700A1"/>
    <w:rsid w:val="00571064"/>
    <w:rsid w:val="0057365A"/>
    <w:rsid w:val="005824A3"/>
    <w:rsid w:val="00582903"/>
    <w:rsid w:val="00583D57"/>
    <w:rsid w:val="00583F97"/>
    <w:rsid w:val="00594886"/>
    <w:rsid w:val="00596B8E"/>
    <w:rsid w:val="005A1E25"/>
    <w:rsid w:val="005A494D"/>
    <w:rsid w:val="005A5584"/>
    <w:rsid w:val="005B1815"/>
    <w:rsid w:val="005B2023"/>
    <w:rsid w:val="005B36AF"/>
    <w:rsid w:val="005B410A"/>
    <w:rsid w:val="005B540D"/>
    <w:rsid w:val="005C5451"/>
    <w:rsid w:val="005C7E53"/>
    <w:rsid w:val="005D7642"/>
    <w:rsid w:val="005D7677"/>
    <w:rsid w:val="005E1A49"/>
    <w:rsid w:val="005E3DCA"/>
    <w:rsid w:val="005E57F4"/>
    <w:rsid w:val="005E726C"/>
    <w:rsid w:val="005F2F3F"/>
    <w:rsid w:val="005F3211"/>
    <w:rsid w:val="005F4040"/>
    <w:rsid w:val="005F72DD"/>
    <w:rsid w:val="005F7A62"/>
    <w:rsid w:val="00605B16"/>
    <w:rsid w:val="00606C9F"/>
    <w:rsid w:val="00607AD0"/>
    <w:rsid w:val="00612364"/>
    <w:rsid w:val="0061366C"/>
    <w:rsid w:val="00613B57"/>
    <w:rsid w:val="006165AE"/>
    <w:rsid w:val="006174C4"/>
    <w:rsid w:val="0062454F"/>
    <w:rsid w:val="00627566"/>
    <w:rsid w:val="00630A84"/>
    <w:rsid w:val="00631051"/>
    <w:rsid w:val="00633789"/>
    <w:rsid w:val="0063727F"/>
    <w:rsid w:val="006479A7"/>
    <w:rsid w:val="00651EBB"/>
    <w:rsid w:val="00652136"/>
    <w:rsid w:val="0065365F"/>
    <w:rsid w:val="00656D85"/>
    <w:rsid w:val="00665E24"/>
    <w:rsid w:val="00671FC1"/>
    <w:rsid w:val="006730D9"/>
    <w:rsid w:val="00673F5D"/>
    <w:rsid w:val="0067623F"/>
    <w:rsid w:val="0067711D"/>
    <w:rsid w:val="00684986"/>
    <w:rsid w:val="00694E96"/>
    <w:rsid w:val="006A23C2"/>
    <w:rsid w:val="006A3D77"/>
    <w:rsid w:val="006A3FB8"/>
    <w:rsid w:val="006A5069"/>
    <w:rsid w:val="006A5FCA"/>
    <w:rsid w:val="006B25D4"/>
    <w:rsid w:val="006B430C"/>
    <w:rsid w:val="006C40C0"/>
    <w:rsid w:val="006C51FF"/>
    <w:rsid w:val="006D0C25"/>
    <w:rsid w:val="006D16E2"/>
    <w:rsid w:val="006E0FA6"/>
    <w:rsid w:val="006E6A64"/>
    <w:rsid w:val="006F37FC"/>
    <w:rsid w:val="006F4A38"/>
    <w:rsid w:val="006F62BE"/>
    <w:rsid w:val="006F667B"/>
    <w:rsid w:val="007014C1"/>
    <w:rsid w:val="0070176B"/>
    <w:rsid w:val="007029A8"/>
    <w:rsid w:val="007049BE"/>
    <w:rsid w:val="007106AC"/>
    <w:rsid w:val="00710CCB"/>
    <w:rsid w:val="0071527B"/>
    <w:rsid w:val="00731891"/>
    <w:rsid w:val="00734656"/>
    <w:rsid w:val="0074350E"/>
    <w:rsid w:val="00745A9D"/>
    <w:rsid w:val="00746711"/>
    <w:rsid w:val="00747F2E"/>
    <w:rsid w:val="007509E7"/>
    <w:rsid w:val="0075324C"/>
    <w:rsid w:val="00753BA2"/>
    <w:rsid w:val="007622B0"/>
    <w:rsid w:val="00766A48"/>
    <w:rsid w:val="00771EFF"/>
    <w:rsid w:val="007747EA"/>
    <w:rsid w:val="00775889"/>
    <w:rsid w:val="0077612C"/>
    <w:rsid w:val="00776ACC"/>
    <w:rsid w:val="00777303"/>
    <w:rsid w:val="00780D79"/>
    <w:rsid w:val="00781DE6"/>
    <w:rsid w:val="00782875"/>
    <w:rsid w:val="007855D6"/>
    <w:rsid w:val="00785C9E"/>
    <w:rsid w:val="0079097D"/>
    <w:rsid w:val="00791C85"/>
    <w:rsid w:val="0079200A"/>
    <w:rsid w:val="0079290D"/>
    <w:rsid w:val="00794B81"/>
    <w:rsid w:val="007A06CC"/>
    <w:rsid w:val="007A09DF"/>
    <w:rsid w:val="007A7A9B"/>
    <w:rsid w:val="007B3E19"/>
    <w:rsid w:val="007B56F4"/>
    <w:rsid w:val="007B6711"/>
    <w:rsid w:val="007B7885"/>
    <w:rsid w:val="007C34B0"/>
    <w:rsid w:val="007C673D"/>
    <w:rsid w:val="007D08D7"/>
    <w:rsid w:val="007D1324"/>
    <w:rsid w:val="007D3131"/>
    <w:rsid w:val="007D34D5"/>
    <w:rsid w:val="007D5398"/>
    <w:rsid w:val="007D63DF"/>
    <w:rsid w:val="007D7D73"/>
    <w:rsid w:val="007D7EAB"/>
    <w:rsid w:val="007E63E1"/>
    <w:rsid w:val="007E7724"/>
    <w:rsid w:val="007F1545"/>
    <w:rsid w:val="007F4085"/>
    <w:rsid w:val="007F60D0"/>
    <w:rsid w:val="007F65F2"/>
    <w:rsid w:val="008008B2"/>
    <w:rsid w:val="00800E41"/>
    <w:rsid w:val="00800EDC"/>
    <w:rsid w:val="00801747"/>
    <w:rsid w:val="00801F6B"/>
    <w:rsid w:val="008105A2"/>
    <w:rsid w:val="0081573A"/>
    <w:rsid w:val="0081763A"/>
    <w:rsid w:val="008177C6"/>
    <w:rsid w:val="008253A7"/>
    <w:rsid w:val="00825971"/>
    <w:rsid w:val="00831FD1"/>
    <w:rsid w:val="00832695"/>
    <w:rsid w:val="008332C7"/>
    <w:rsid w:val="008363D9"/>
    <w:rsid w:val="0083783D"/>
    <w:rsid w:val="00840EC6"/>
    <w:rsid w:val="00842CED"/>
    <w:rsid w:val="00843856"/>
    <w:rsid w:val="00846362"/>
    <w:rsid w:val="00851832"/>
    <w:rsid w:val="00852529"/>
    <w:rsid w:val="00856C1A"/>
    <w:rsid w:val="00860E46"/>
    <w:rsid w:val="00861618"/>
    <w:rsid w:val="008646A1"/>
    <w:rsid w:val="00864FAD"/>
    <w:rsid w:val="00871DC8"/>
    <w:rsid w:val="0087406A"/>
    <w:rsid w:val="008744E9"/>
    <w:rsid w:val="0087673F"/>
    <w:rsid w:val="0088614E"/>
    <w:rsid w:val="00891F6C"/>
    <w:rsid w:val="0089272C"/>
    <w:rsid w:val="00893494"/>
    <w:rsid w:val="00893B7A"/>
    <w:rsid w:val="00895BB4"/>
    <w:rsid w:val="008A1A8C"/>
    <w:rsid w:val="008A1B4C"/>
    <w:rsid w:val="008A213D"/>
    <w:rsid w:val="008A6404"/>
    <w:rsid w:val="008A72C1"/>
    <w:rsid w:val="008B2851"/>
    <w:rsid w:val="008B52FE"/>
    <w:rsid w:val="008B72F8"/>
    <w:rsid w:val="008C14E9"/>
    <w:rsid w:val="008D1A12"/>
    <w:rsid w:val="008D405F"/>
    <w:rsid w:val="008D5A0A"/>
    <w:rsid w:val="008D666E"/>
    <w:rsid w:val="008D794B"/>
    <w:rsid w:val="008D7A9A"/>
    <w:rsid w:val="008E13FA"/>
    <w:rsid w:val="008F1945"/>
    <w:rsid w:val="008F29FB"/>
    <w:rsid w:val="008F2A4D"/>
    <w:rsid w:val="008F3D8E"/>
    <w:rsid w:val="008F75B0"/>
    <w:rsid w:val="0090138D"/>
    <w:rsid w:val="00901A17"/>
    <w:rsid w:val="00912E63"/>
    <w:rsid w:val="00913907"/>
    <w:rsid w:val="00913D74"/>
    <w:rsid w:val="00915363"/>
    <w:rsid w:val="0092235A"/>
    <w:rsid w:val="00924289"/>
    <w:rsid w:val="009257D0"/>
    <w:rsid w:val="00926A8D"/>
    <w:rsid w:val="00930BAB"/>
    <w:rsid w:val="00937B64"/>
    <w:rsid w:val="00937CB3"/>
    <w:rsid w:val="00943DC3"/>
    <w:rsid w:val="00944541"/>
    <w:rsid w:val="00951EA6"/>
    <w:rsid w:val="00954796"/>
    <w:rsid w:val="009557A5"/>
    <w:rsid w:val="009560C9"/>
    <w:rsid w:val="009611EC"/>
    <w:rsid w:val="009670BC"/>
    <w:rsid w:val="009711BC"/>
    <w:rsid w:val="00973998"/>
    <w:rsid w:val="00975BDB"/>
    <w:rsid w:val="0098097F"/>
    <w:rsid w:val="00981156"/>
    <w:rsid w:val="009829A1"/>
    <w:rsid w:val="009903C4"/>
    <w:rsid w:val="00994802"/>
    <w:rsid w:val="009A4510"/>
    <w:rsid w:val="009A5C9A"/>
    <w:rsid w:val="009A6977"/>
    <w:rsid w:val="009B5DEE"/>
    <w:rsid w:val="009B7F6E"/>
    <w:rsid w:val="009C54DB"/>
    <w:rsid w:val="009C596A"/>
    <w:rsid w:val="009C6791"/>
    <w:rsid w:val="009C7FFA"/>
    <w:rsid w:val="009D246E"/>
    <w:rsid w:val="009D354E"/>
    <w:rsid w:val="009D5FE2"/>
    <w:rsid w:val="009D6877"/>
    <w:rsid w:val="009D6E8A"/>
    <w:rsid w:val="009E752E"/>
    <w:rsid w:val="009F0E38"/>
    <w:rsid w:val="009F1776"/>
    <w:rsid w:val="009F5297"/>
    <w:rsid w:val="00A00402"/>
    <w:rsid w:val="00A03D49"/>
    <w:rsid w:val="00A06D09"/>
    <w:rsid w:val="00A07527"/>
    <w:rsid w:val="00A12BC0"/>
    <w:rsid w:val="00A151B0"/>
    <w:rsid w:val="00A166AD"/>
    <w:rsid w:val="00A20BB5"/>
    <w:rsid w:val="00A2720B"/>
    <w:rsid w:val="00A27D8B"/>
    <w:rsid w:val="00A337A7"/>
    <w:rsid w:val="00A40876"/>
    <w:rsid w:val="00A419B3"/>
    <w:rsid w:val="00A425C4"/>
    <w:rsid w:val="00A447DD"/>
    <w:rsid w:val="00A44A7C"/>
    <w:rsid w:val="00A450D4"/>
    <w:rsid w:val="00A46F89"/>
    <w:rsid w:val="00A5157A"/>
    <w:rsid w:val="00A55536"/>
    <w:rsid w:val="00A6267B"/>
    <w:rsid w:val="00A639CD"/>
    <w:rsid w:val="00A647CF"/>
    <w:rsid w:val="00A65481"/>
    <w:rsid w:val="00A714B1"/>
    <w:rsid w:val="00A73DD8"/>
    <w:rsid w:val="00A811C3"/>
    <w:rsid w:val="00A871B3"/>
    <w:rsid w:val="00A87D98"/>
    <w:rsid w:val="00A92FA9"/>
    <w:rsid w:val="00A930A4"/>
    <w:rsid w:val="00A95F3B"/>
    <w:rsid w:val="00A96EF8"/>
    <w:rsid w:val="00AA1553"/>
    <w:rsid w:val="00AA1CF6"/>
    <w:rsid w:val="00AA3496"/>
    <w:rsid w:val="00AA4008"/>
    <w:rsid w:val="00AA5299"/>
    <w:rsid w:val="00AB1DC2"/>
    <w:rsid w:val="00AC1AF2"/>
    <w:rsid w:val="00AC42E8"/>
    <w:rsid w:val="00AC7EF0"/>
    <w:rsid w:val="00AD14BB"/>
    <w:rsid w:val="00AD155B"/>
    <w:rsid w:val="00AD1C85"/>
    <w:rsid w:val="00AD3974"/>
    <w:rsid w:val="00AE05B5"/>
    <w:rsid w:val="00AE1825"/>
    <w:rsid w:val="00AE2FB2"/>
    <w:rsid w:val="00AE3E38"/>
    <w:rsid w:val="00AE4AC9"/>
    <w:rsid w:val="00AE7CF1"/>
    <w:rsid w:val="00AF0393"/>
    <w:rsid w:val="00AF5A5A"/>
    <w:rsid w:val="00B016C5"/>
    <w:rsid w:val="00B020D7"/>
    <w:rsid w:val="00B03F5C"/>
    <w:rsid w:val="00B11BD3"/>
    <w:rsid w:val="00B12FC7"/>
    <w:rsid w:val="00B13056"/>
    <w:rsid w:val="00B155A7"/>
    <w:rsid w:val="00B176F2"/>
    <w:rsid w:val="00B20628"/>
    <w:rsid w:val="00B2139F"/>
    <w:rsid w:val="00B215C8"/>
    <w:rsid w:val="00B22304"/>
    <w:rsid w:val="00B22E3F"/>
    <w:rsid w:val="00B24D60"/>
    <w:rsid w:val="00B24F6E"/>
    <w:rsid w:val="00B25527"/>
    <w:rsid w:val="00B26984"/>
    <w:rsid w:val="00B27F2E"/>
    <w:rsid w:val="00B31FBE"/>
    <w:rsid w:val="00B34A6E"/>
    <w:rsid w:val="00B37B36"/>
    <w:rsid w:val="00B40FE4"/>
    <w:rsid w:val="00B442C9"/>
    <w:rsid w:val="00B47844"/>
    <w:rsid w:val="00B54067"/>
    <w:rsid w:val="00B549AF"/>
    <w:rsid w:val="00B5705E"/>
    <w:rsid w:val="00B57EE8"/>
    <w:rsid w:val="00B652F0"/>
    <w:rsid w:val="00B72FC1"/>
    <w:rsid w:val="00B84BC1"/>
    <w:rsid w:val="00B92A00"/>
    <w:rsid w:val="00B94D1F"/>
    <w:rsid w:val="00B960B4"/>
    <w:rsid w:val="00B97A81"/>
    <w:rsid w:val="00BA048C"/>
    <w:rsid w:val="00BA4D23"/>
    <w:rsid w:val="00BA6879"/>
    <w:rsid w:val="00BB05BA"/>
    <w:rsid w:val="00BB40C9"/>
    <w:rsid w:val="00BB56C1"/>
    <w:rsid w:val="00BB68F4"/>
    <w:rsid w:val="00BB7B68"/>
    <w:rsid w:val="00BC376B"/>
    <w:rsid w:val="00BC39D8"/>
    <w:rsid w:val="00BC3FEA"/>
    <w:rsid w:val="00BC64AA"/>
    <w:rsid w:val="00BE6640"/>
    <w:rsid w:val="00BE6D98"/>
    <w:rsid w:val="00BF1068"/>
    <w:rsid w:val="00BF395A"/>
    <w:rsid w:val="00BF5276"/>
    <w:rsid w:val="00BF5B89"/>
    <w:rsid w:val="00BF7124"/>
    <w:rsid w:val="00C01125"/>
    <w:rsid w:val="00C034C5"/>
    <w:rsid w:val="00C04998"/>
    <w:rsid w:val="00C04F95"/>
    <w:rsid w:val="00C051FF"/>
    <w:rsid w:val="00C11D2C"/>
    <w:rsid w:val="00C1562A"/>
    <w:rsid w:val="00C208D0"/>
    <w:rsid w:val="00C20EDE"/>
    <w:rsid w:val="00C219F8"/>
    <w:rsid w:val="00C22275"/>
    <w:rsid w:val="00C22E2E"/>
    <w:rsid w:val="00C233C1"/>
    <w:rsid w:val="00C268FE"/>
    <w:rsid w:val="00C30B18"/>
    <w:rsid w:val="00C312D5"/>
    <w:rsid w:val="00C326ED"/>
    <w:rsid w:val="00C32B7B"/>
    <w:rsid w:val="00C33398"/>
    <w:rsid w:val="00C33BAD"/>
    <w:rsid w:val="00C34796"/>
    <w:rsid w:val="00C370BE"/>
    <w:rsid w:val="00C44C17"/>
    <w:rsid w:val="00C505E4"/>
    <w:rsid w:val="00C562FB"/>
    <w:rsid w:val="00C606F5"/>
    <w:rsid w:val="00C631CB"/>
    <w:rsid w:val="00C653E7"/>
    <w:rsid w:val="00C71A3F"/>
    <w:rsid w:val="00C72402"/>
    <w:rsid w:val="00C7270D"/>
    <w:rsid w:val="00C74242"/>
    <w:rsid w:val="00C744B0"/>
    <w:rsid w:val="00C75014"/>
    <w:rsid w:val="00C77D1A"/>
    <w:rsid w:val="00C81304"/>
    <w:rsid w:val="00C83F2F"/>
    <w:rsid w:val="00C845E9"/>
    <w:rsid w:val="00C92AD0"/>
    <w:rsid w:val="00C92D3E"/>
    <w:rsid w:val="00C9494D"/>
    <w:rsid w:val="00C966C8"/>
    <w:rsid w:val="00CA1A2B"/>
    <w:rsid w:val="00CA2F4D"/>
    <w:rsid w:val="00CA3AE8"/>
    <w:rsid w:val="00CB4CD1"/>
    <w:rsid w:val="00CB7399"/>
    <w:rsid w:val="00CB7651"/>
    <w:rsid w:val="00CB7D3F"/>
    <w:rsid w:val="00CC28A2"/>
    <w:rsid w:val="00CC3932"/>
    <w:rsid w:val="00CC3BA2"/>
    <w:rsid w:val="00CC4F3C"/>
    <w:rsid w:val="00CC71F3"/>
    <w:rsid w:val="00CD03BA"/>
    <w:rsid w:val="00CD0C11"/>
    <w:rsid w:val="00CE2AD4"/>
    <w:rsid w:val="00CE43B6"/>
    <w:rsid w:val="00CE53BC"/>
    <w:rsid w:val="00CF03FD"/>
    <w:rsid w:val="00CF33B7"/>
    <w:rsid w:val="00CF365D"/>
    <w:rsid w:val="00CF4F08"/>
    <w:rsid w:val="00D00115"/>
    <w:rsid w:val="00D0080C"/>
    <w:rsid w:val="00D01859"/>
    <w:rsid w:val="00D02A31"/>
    <w:rsid w:val="00D03F14"/>
    <w:rsid w:val="00D07D0C"/>
    <w:rsid w:val="00D11772"/>
    <w:rsid w:val="00D11C08"/>
    <w:rsid w:val="00D126DF"/>
    <w:rsid w:val="00D154B4"/>
    <w:rsid w:val="00D15BAB"/>
    <w:rsid w:val="00D17A48"/>
    <w:rsid w:val="00D17C62"/>
    <w:rsid w:val="00D22031"/>
    <w:rsid w:val="00D22320"/>
    <w:rsid w:val="00D26D02"/>
    <w:rsid w:val="00D319CC"/>
    <w:rsid w:val="00D405E7"/>
    <w:rsid w:val="00D4141F"/>
    <w:rsid w:val="00D43851"/>
    <w:rsid w:val="00D45CF6"/>
    <w:rsid w:val="00D4767A"/>
    <w:rsid w:val="00D567EB"/>
    <w:rsid w:val="00D57E61"/>
    <w:rsid w:val="00D601AD"/>
    <w:rsid w:val="00D62E77"/>
    <w:rsid w:val="00D63BA9"/>
    <w:rsid w:val="00D6553C"/>
    <w:rsid w:val="00D66446"/>
    <w:rsid w:val="00D6709F"/>
    <w:rsid w:val="00D7023A"/>
    <w:rsid w:val="00D70C0B"/>
    <w:rsid w:val="00D76729"/>
    <w:rsid w:val="00D77391"/>
    <w:rsid w:val="00D7757B"/>
    <w:rsid w:val="00D8171C"/>
    <w:rsid w:val="00D82B4D"/>
    <w:rsid w:val="00D840CF"/>
    <w:rsid w:val="00D844F9"/>
    <w:rsid w:val="00D85456"/>
    <w:rsid w:val="00D854E8"/>
    <w:rsid w:val="00D86799"/>
    <w:rsid w:val="00D87FC9"/>
    <w:rsid w:val="00D90B3C"/>
    <w:rsid w:val="00D9414B"/>
    <w:rsid w:val="00D9785A"/>
    <w:rsid w:val="00DA339D"/>
    <w:rsid w:val="00DA459B"/>
    <w:rsid w:val="00DA762F"/>
    <w:rsid w:val="00DB1126"/>
    <w:rsid w:val="00DB278E"/>
    <w:rsid w:val="00DB5B79"/>
    <w:rsid w:val="00DB6486"/>
    <w:rsid w:val="00DB6866"/>
    <w:rsid w:val="00DC3544"/>
    <w:rsid w:val="00DC61CD"/>
    <w:rsid w:val="00DD3CEB"/>
    <w:rsid w:val="00DD4113"/>
    <w:rsid w:val="00DD756B"/>
    <w:rsid w:val="00DE038A"/>
    <w:rsid w:val="00DE0481"/>
    <w:rsid w:val="00DE339D"/>
    <w:rsid w:val="00DE351B"/>
    <w:rsid w:val="00DE3B78"/>
    <w:rsid w:val="00DE3D8D"/>
    <w:rsid w:val="00DF35C6"/>
    <w:rsid w:val="00DF56C2"/>
    <w:rsid w:val="00E05079"/>
    <w:rsid w:val="00E07172"/>
    <w:rsid w:val="00E071F8"/>
    <w:rsid w:val="00E124ED"/>
    <w:rsid w:val="00E12CE5"/>
    <w:rsid w:val="00E13DF1"/>
    <w:rsid w:val="00E16042"/>
    <w:rsid w:val="00E230AB"/>
    <w:rsid w:val="00E31484"/>
    <w:rsid w:val="00E343DC"/>
    <w:rsid w:val="00E34A5D"/>
    <w:rsid w:val="00E35241"/>
    <w:rsid w:val="00E4174D"/>
    <w:rsid w:val="00E43AE2"/>
    <w:rsid w:val="00E445E1"/>
    <w:rsid w:val="00E462FD"/>
    <w:rsid w:val="00E4783D"/>
    <w:rsid w:val="00E47BA4"/>
    <w:rsid w:val="00E47F2B"/>
    <w:rsid w:val="00E52764"/>
    <w:rsid w:val="00E554F9"/>
    <w:rsid w:val="00E570E4"/>
    <w:rsid w:val="00E63292"/>
    <w:rsid w:val="00E6384B"/>
    <w:rsid w:val="00E64A19"/>
    <w:rsid w:val="00E65ED2"/>
    <w:rsid w:val="00E67B80"/>
    <w:rsid w:val="00E67D1B"/>
    <w:rsid w:val="00E70384"/>
    <w:rsid w:val="00E70470"/>
    <w:rsid w:val="00E70507"/>
    <w:rsid w:val="00E82B39"/>
    <w:rsid w:val="00E845D2"/>
    <w:rsid w:val="00E865DB"/>
    <w:rsid w:val="00E915F8"/>
    <w:rsid w:val="00E91E0A"/>
    <w:rsid w:val="00E92AC3"/>
    <w:rsid w:val="00E954BD"/>
    <w:rsid w:val="00EA151D"/>
    <w:rsid w:val="00EA15D9"/>
    <w:rsid w:val="00EA4AE2"/>
    <w:rsid w:val="00EA5187"/>
    <w:rsid w:val="00EA51F9"/>
    <w:rsid w:val="00EA700A"/>
    <w:rsid w:val="00EB0FBE"/>
    <w:rsid w:val="00EB2CA3"/>
    <w:rsid w:val="00EB4656"/>
    <w:rsid w:val="00EB53BE"/>
    <w:rsid w:val="00EC2C16"/>
    <w:rsid w:val="00EC4335"/>
    <w:rsid w:val="00EC50C8"/>
    <w:rsid w:val="00EC5AC8"/>
    <w:rsid w:val="00EC5F66"/>
    <w:rsid w:val="00EC7120"/>
    <w:rsid w:val="00ED0FDE"/>
    <w:rsid w:val="00ED271E"/>
    <w:rsid w:val="00ED3F68"/>
    <w:rsid w:val="00ED4ACB"/>
    <w:rsid w:val="00ED5223"/>
    <w:rsid w:val="00ED57C0"/>
    <w:rsid w:val="00ED5ACF"/>
    <w:rsid w:val="00EE1416"/>
    <w:rsid w:val="00EE3062"/>
    <w:rsid w:val="00EE5AF1"/>
    <w:rsid w:val="00EE7193"/>
    <w:rsid w:val="00EF051E"/>
    <w:rsid w:val="00EF25AD"/>
    <w:rsid w:val="00EF4B72"/>
    <w:rsid w:val="00F004E5"/>
    <w:rsid w:val="00F021FB"/>
    <w:rsid w:val="00F0337C"/>
    <w:rsid w:val="00F12D67"/>
    <w:rsid w:val="00F13D15"/>
    <w:rsid w:val="00F164A8"/>
    <w:rsid w:val="00F201D8"/>
    <w:rsid w:val="00F30C62"/>
    <w:rsid w:val="00F35FD9"/>
    <w:rsid w:val="00F36076"/>
    <w:rsid w:val="00F40AB7"/>
    <w:rsid w:val="00F40B37"/>
    <w:rsid w:val="00F413D6"/>
    <w:rsid w:val="00F416AC"/>
    <w:rsid w:val="00F46C98"/>
    <w:rsid w:val="00F47141"/>
    <w:rsid w:val="00F50457"/>
    <w:rsid w:val="00F53B4D"/>
    <w:rsid w:val="00F5459A"/>
    <w:rsid w:val="00F55DA7"/>
    <w:rsid w:val="00F605C4"/>
    <w:rsid w:val="00F62054"/>
    <w:rsid w:val="00F66778"/>
    <w:rsid w:val="00F71CD4"/>
    <w:rsid w:val="00F733E8"/>
    <w:rsid w:val="00F747D5"/>
    <w:rsid w:val="00F75D66"/>
    <w:rsid w:val="00F770F0"/>
    <w:rsid w:val="00F82CD2"/>
    <w:rsid w:val="00F87D6A"/>
    <w:rsid w:val="00F87F83"/>
    <w:rsid w:val="00F93692"/>
    <w:rsid w:val="00F95D63"/>
    <w:rsid w:val="00F95D77"/>
    <w:rsid w:val="00FA27C3"/>
    <w:rsid w:val="00FA5CD2"/>
    <w:rsid w:val="00FA5DC9"/>
    <w:rsid w:val="00FA78E6"/>
    <w:rsid w:val="00FB0984"/>
    <w:rsid w:val="00FB0C14"/>
    <w:rsid w:val="00FB762F"/>
    <w:rsid w:val="00FB7C9B"/>
    <w:rsid w:val="00FC1AE4"/>
    <w:rsid w:val="00FD1E22"/>
    <w:rsid w:val="00FD20F2"/>
    <w:rsid w:val="00FD5CFB"/>
    <w:rsid w:val="00FD7479"/>
    <w:rsid w:val="00FE0762"/>
    <w:rsid w:val="00FE35D5"/>
    <w:rsid w:val="00FF02D6"/>
    <w:rsid w:val="00FF5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CC340"/>
  <w15:docId w15:val="{D405E163-B5B7-47E9-8225-E7037E3F8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pPr>
      <w:spacing w:after="201" w:line="277" w:lineRule="auto"/>
      <w:ind w:left="9" w:right="57" w:hanging="9"/>
      <w:jc w:val="both"/>
    </w:pPr>
    <w:rPr>
      <w:rFonts w:ascii="Arial" w:eastAsia="Arial" w:hAnsi="Arial" w:cs="Arial"/>
      <w:color w:val="000000"/>
      <w:sz w:val="20"/>
    </w:rPr>
  </w:style>
  <w:style w:type="paragraph" w:styleId="Titre1">
    <w:name w:val="heading 1"/>
    <w:next w:val="Normal"/>
    <w:link w:val="Titre1Car"/>
    <w:uiPriority w:val="9"/>
    <w:unhideWhenUsed/>
    <w:qFormat/>
    <w:pPr>
      <w:keepNext/>
      <w:keepLines/>
      <w:spacing w:after="61"/>
      <w:ind w:left="11" w:hanging="10"/>
      <w:outlineLvl w:val="0"/>
    </w:pPr>
    <w:rPr>
      <w:rFonts w:ascii="Arial" w:eastAsia="Arial" w:hAnsi="Arial" w:cs="Arial"/>
      <w:b/>
      <w:color w:val="009DA1"/>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b/>
      <w:color w:val="009DA1"/>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1E5B8A"/>
    <w:pPr>
      <w:ind w:left="720"/>
      <w:contextualSpacing/>
    </w:pPr>
  </w:style>
  <w:style w:type="paragraph" w:styleId="En-tte">
    <w:name w:val="header"/>
    <w:basedOn w:val="Normal"/>
    <w:link w:val="En-tteCar"/>
    <w:uiPriority w:val="99"/>
    <w:unhideWhenUsed/>
    <w:rsid w:val="00453B6F"/>
    <w:pPr>
      <w:tabs>
        <w:tab w:val="center" w:pos="4680"/>
        <w:tab w:val="right" w:pos="9360"/>
      </w:tabs>
      <w:spacing w:after="0" w:line="240" w:lineRule="auto"/>
    </w:pPr>
  </w:style>
  <w:style w:type="character" w:customStyle="1" w:styleId="En-tteCar">
    <w:name w:val="En-tête Car"/>
    <w:basedOn w:val="Policepardfaut"/>
    <w:link w:val="En-tte"/>
    <w:uiPriority w:val="99"/>
    <w:rsid w:val="00453B6F"/>
    <w:rPr>
      <w:rFonts w:ascii="Arial" w:eastAsia="Arial" w:hAnsi="Arial" w:cs="Arial"/>
      <w:color w:val="000000"/>
      <w:sz w:val="20"/>
    </w:rPr>
  </w:style>
  <w:style w:type="paragraph" w:styleId="Pieddepage">
    <w:name w:val="footer"/>
    <w:basedOn w:val="Normal"/>
    <w:link w:val="PieddepageCar"/>
    <w:uiPriority w:val="99"/>
    <w:unhideWhenUsed/>
    <w:rsid w:val="00453B6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453B6F"/>
    <w:rPr>
      <w:rFonts w:ascii="Arial" w:eastAsia="Arial" w:hAnsi="Arial" w:cs="Arial"/>
      <w:color w:val="000000"/>
      <w:sz w:val="20"/>
    </w:rPr>
  </w:style>
  <w:style w:type="character" w:styleId="Marquedecommentaire">
    <w:name w:val="annotation reference"/>
    <w:basedOn w:val="Policepardfaut"/>
    <w:uiPriority w:val="99"/>
    <w:semiHidden/>
    <w:unhideWhenUsed/>
    <w:rsid w:val="00F004E5"/>
    <w:rPr>
      <w:sz w:val="16"/>
      <w:szCs w:val="16"/>
    </w:rPr>
  </w:style>
  <w:style w:type="paragraph" w:styleId="Commentaire">
    <w:name w:val="annotation text"/>
    <w:basedOn w:val="Normal"/>
    <w:link w:val="CommentaireCar"/>
    <w:uiPriority w:val="99"/>
    <w:semiHidden/>
    <w:unhideWhenUsed/>
    <w:rsid w:val="00F004E5"/>
    <w:pPr>
      <w:spacing w:line="240" w:lineRule="auto"/>
    </w:pPr>
    <w:rPr>
      <w:szCs w:val="20"/>
    </w:rPr>
  </w:style>
  <w:style w:type="character" w:customStyle="1" w:styleId="CommentaireCar">
    <w:name w:val="Commentaire Car"/>
    <w:basedOn w:val="Policepardfaut"/>
    <w:link w:val="Commentaire"/>
    <w:uiPriority w:val="99"/>
    <w:semiHidden/>
    <w:rsid w:val="00F004E5"/>
    <w:rPr>
      <w:rFonts w:ascii="Arial" w:eastAsia="Arial" w:hAnsi="Arial" w:cs="Arial"/>
      <w:color w:val="000000"/>
      <w:sz w:val="20"/>
      <w:szCs w:val="20"/>
    </w:rPr>
  </w:style>
  <w:style w:type="paragraph" w:styleId="Objetducommentaire">
    <w:name w:val="annotation subject"/>
    <w:basedOn w:val="Commentaire"/>
    <w:next w:val="Commentaire"/>
    <w:link w:val="ObjetducommentaireCar"/>
    <w:uiPriority w:val="99"/>
    <w:semiHidden/>
    <w:unhideWhenUsed/>
    <w:rsid w:val="00F004E5"/>
    <w:rPr>
      <w:b/>
      <w:bCs/>
    </w:rPr>
  </w:style>
  <w:style w:type="character" w:customStyle="1" w:styleId="ObjetducommentaireCar">
    <w:name w:val="Objet du commentaire Car"/>
    <w:basedOn w:val="CommentaireCar"/>
    <w:link w:val="Objetducommentaire"/>
    <w:uiPriority w:val="99"/>
    <w:semiHidden/>
    <w:rsid w:val="00F004E5"/>
    <w:rPr>
      <w:rFonts w:ascii="Arial" w:eastAsia="Arial" w:hAnsi="Arial" w:cs="Arial"/>
      <w:b/>
      <w:bCs/>
      <w:color w:val="000000"/>
      <w:sz w:val="20"/>
      <w:szCs w:val="20"/>
    </w:rPr>
  </w:style>
  <w:style w:type="paragraph" w:styleId="Textedebulles">
    <w:name w:val="Balloon Text"/>
    <w:basedOn w:val="Normal"/>
    <w:link w:val="TextedebullesCar"/>
    <w:uiPriority w:val="99"/>
    <w:semiHidden/>
    <w:unhideWhenUsed/>
    <w:rsid w:val="00F004E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004E5"/>
    <w:rPr>
      <w:rFonts w:ascii="Segoe UI" w:eastAsia="Arial" w:hAnsi="Segoe UI" w:cs="Segoe UI"/>
      <w:color w:val="000000"/>
      <w:sz w:val="18"/>
      <w:szCs w:val="18"/>
    </w:rPr>
  </w:style>
  <w:style w:type="paragraph" w:styleId="Notedebasdepage">
    <w:name w:val="footnote text"/>
    <w:basedOn w:val="Normal"/>
    <w:link w:val="NotedebasdepageCar"/>
    <w:uiPriority w:val="99"/>
    <w:unhideWhenUsed/>
    <w:rsid w:val="005576EA"/>
    <w:pPr>
      <w:spacing w:after="0" w:line="240" w:lineRule="auto"/>
    </w:pPr>
    <w:rPr>
      <w:szCs w:val="20"/>
    </w:rPr>
  </w:style>
  <w:style w:type="character" w:customStyle="1" w:styleId="NotedebasdepageCar">
    <w:name w:val="Note de bas de page Car"/>
    <w:basedOn w:val="Policepardfaut"/>
    <w:link w:val="Notedebasdepage"/>
    <w:uiPriority w:val="99"/>
    <w:rsid w:val="005576EA"/>
    <w:rPr>
      <w:rFonts w:ascii="Arial" w:eastAsia="Arial" w:hAnsi="Arial" w:cs="Arial"/>
      <w:color w:val="000000"/>
      <w:sz w:val="20"/>
      <w:szCs w:val="20"/>
    </w:rPr>
  </w:style>
  <w:style w:type="character" w:styleId="Appelnotedebasdep">
    <w:name w:val="footnote reference"/>
    <w:basedOn w:val="Policepardfaut"/>
    <w:uiPriority w:val="99"/>
    <w:semiHidden/>
    <w:unhideWhenUsed/>
    <w:rsid w:val="005576EA"/>
    <w:rPr>
      <w:vertAlign w:val="superscript"/>
    </w:rPr>
  </w:style>
  <w:style w:type="character" w:styleId="Lienhypertexte">
    <w:name w:val="Hyperlink"/>
    <w:basedOn w:val="Policepardfaut"/>
    <w:uiPriority w:val="99"/>
    <w:unhideWhenUsed/>
    <w:rsid w:val="004C484C"/>
    <w:rPr>
      <w:color w:val="0563C1" w:themeColor="hyperlink"/>
      <w:u w:val="single"/>
    </w:rPr>
  </w:style>
  <w:style w:type="character" w:styleId="Mentionnonrsolue">
    <w:name w:val="Unresolved Mention"/>
    <w:basedOn w:val="Policepardfaut"/>
    <w:uiPriority w:val="99"/>
    <w:rsid w:val="004C484C"/>
    <w:rPr>
      <w:color w:val="808080"/>
      <w:shd w:val="clear" w:color="auto" w:fill="E6E6E6"/>
    </w:rPr>
  </w:style>
  <w:style w:type="character" w:styleId="lev">
    <w:name w:val="Strong"/>
    <w:basedOn w:val="Policepardfaut"/>
    <w:uiPriority w:val="22"/>
    <w:qFormat/>
    <w:rsid w:val="004C484C"/>
    <w:rPr>
      <w:b/>
      <w:bCs/>
    </w:rPr>
  </w:style>
  <w:style w:type="table" w:styleId="Grilledutableau">
    <w:name w:val="Table Grid"/>
    <w:basedOn w:val="TableauNormal"/>
    <w:uiPriority w:val="59"/>
    <w:rsid w:val="004C484C"/>
    <w:pPr>
      <w:spacing w:after="0" w:line="240" w:lineRule="auto"/>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7FC9"/>
    <w:pPr>
      <w:autoSpaceDE w:val="0"/>
      <w:autoSpaceDN w:val="0"/>
      <w:adjustRightInd w:val="0"/>
      <w:spacing w:after="0" w:line="240" w:lineRule="auto"/>
    </w:pPr>
    <w:rPr>
      <w:rFonts w:ascii="Arial" w:eastAsiaTheme="minorHAnsi" w:hAnsi="Arial" w:cs="Arial"/>
      <w:color w:val="000000"/>
      <w:sz w:val="24"/>
      <w:szCs w:val="24"/>
      <w:lang w:val="fr-FR"/>
    </w:rPr>
  </w:style>
  <w:style w:type="paragraph" w:styleId="Notedefin">
    <w:name w:val="endnote text"/>
    <w:basedOn w:val="Normal"/>
    <w:link w:val="NotedefinCar"/>
    <w:uiPriority w:val="99"/>
    <w:semiHidden/>
    <w:unhideWhenUsed/>
    <w:rsid w:val="00C92D3E"/>
    <w:pPr>
      <w:spacing w:after="0" w:line="240" w:lineRule="auto"/>
    </w:pPr>
    <w:rPr>
      <w:szCs w:val="20"/>
    </w:rPr>
  </w:style>
  <w:style w:type="character" w:customStyle="1" w:styleId="NotedefinCar">
    <w:name w:val="Note de fin Car"/>
    <w:basedOn w:val="Policepardfaut"/>
    <w:link w:val="Notedefin"/>
    <w:uiPriority w:val="99"/>
    <w:semiHidden/>
    <w:rsid w:val="00C92D3E"/>
    <w:rPr>
      <w:rFonts w:ascii="Arial" w:eastAsia="Arial" w:hAnsi="Arial" w:cs="Arial"/>
      <w:color w:val="000000"/>
      <w:sz w:val="20"/>
      <w:szCs w:val="20"/>
    </w:rPr>
  </w:style>
  <w:style w:type="character" w:styleId="Appeldenotedefin">
    <w:name w:val="endnote reference"/>
    <w:basedOn w:val="Policepardfaut"/>
    <w:uiPriority w:val="99"/>
    <w:semiHidden/>
    <w:unhideWhenUsed/>
    <w:rsid w:val="00C92D3E"/>
    <w:rPr>
      <w:vertAlign w:val="superscript"/>
    </w:rPr>
  </w:style>
  <w:style w:type="paragraph" w:styleId="Rvision">
    <w:name w:val="Revision"/>
    <w:hidden/>
    <w:uiPriority w:val="99"/>
    <w:semiHidden/>
    <w:rsid w:val="00F47141"/>
    <w:pPr>
      <w:spacing w:after="0" w:line="240" w:lineRule="auto"/>
    </w:pPr>
    <w:rPr>
      <w:rFonts w:ascii="Arial" w:eastAsia="Arial" w:hAnsi="Arial" w:cs="Arial"/>
      <w:color w:val="000000"/>
      <w:sz w:val="20"/>
    </w:rPr>
  </w:style>
  <w:style w:type="character" w:styleId="Textedelespacerserv">
    <w:name w:val="Placeholder Text"/>
    <w:basedOn w:val="Policepardfaut"/>
    <w:uiPriority w:val="99"/>
    <w:semiHidden/>
    <w:rsid w:val="00D11772"/>
    <w:rPr>
      <w:color w:val="808080"/>
    </w:rPr>
  </w:style>
  <w:style w:type="character" w:styleId="Lienhypertextesuivivisit">
    <w:name w:val="FollowedHyperlink"/>
    <w:basedOn w:val="Policepardfaut"/>
    <w:uiPriority w:val="99"/>
    <w:semiHidden/>
    <w:unhideWhenUsed/>
    <w:rsid w:val="004125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94793">
      <w:bodyDiv w:val="1"/>
      <w:marLeft w:val="0"/>
      <w:marRight w:val="0"/>
      <w:marTop w:val="0"/>
      <w:marBottom w:val="0"/>
      <w:divBdr>
        <w:top w:val="none" w:sz="0" w:space="0" w:color="auto"/>
        <w:left w:val="none" w:sz="0" w:space="0" w:color="auto"/>
        <w:bottom w:val="none" w:sz="0" w:space="0" w:color="auto"/>
        <w:right w:val="none" w:sz="0" w:space="0" w:color="auto"/>
      </w:divBdr>
    </w:div>
    <w:div w:id="838352937">
      <w:bodyDiv w:val="1"/>
      <w:marLeft w:val="0"/>
      <w:marRight w:val="0"/>
      <w:marTop w:val="0"/>
      <w:marBottom w:val="0"/>
      <w:divBdr>
        <w:top w:val="none" w:sz="0" w:space="0" w:color="auto"/>
        <w:left w:val="none" w:sz="0" w:space="0" w:color="auto"/>
        <w:bottom w:val="none" w:sz="0" w:space="0" w:color="auto"/>
        <w:right w:val="none" w:sz="0" w:space="0" w:color="auto"/>
      </w:divBdr>
    </w:div>
    <w:div w:id="10446707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gidoin@gensight-biologic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vanrenterghem@lifesciadvisors.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BC238-CBF8-44E2-B617-1DE418CC1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897</Words>
  <Characters>5275</Characters>
  <Application>Microsoft Office Word</Application>
  <DocSecurity>0</DocSecurity>
  <Lines>114</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mbohin</dc:creator>
  <cp:keywords/>
  <cp:lastModifiedBy>Thomas Gidoin</cp:lastModifiedBy>
  <cp:revision>2</cp:revision>
  <dcterms:created xsi:type="dcterms:W3CDTF">2023-07-19T16:58:00Z</dcterms:created>
  <dcterms:modified xsi:type="dcterms:W3CDTF">2023-07-19T16:58:00Z</dcterms:modified>
</cp:coreProperties>
</file>